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="0" w:after="0" w:line="300" w:lineRule="exact"/>
      </w:pPr>
      <w:r>
        <w:rPr>
          <w:rFonts w:hint="eastAsia"/>
        </w:rPr>
        <w:t>附件2</w:t>
      </w:r>
    </w:p>
    <w:p>
      <w:pPr>
        <w:pStyle w:val="11"/>
        <w:spacing w:before="0" w:after="0" w:line="300" w:lineRule="exact"/>
      </w:pPr>
    </w:p>
    <w:p>
      <w:pPr>
        <w:pStyle w:val="11"/>
        <w:spacing w:before="0" w:after="0" w:line="300" w:lineRule="exact"/>
      </w:pPr>
    </w:p>
    <w:p>
      <w:pPr>
        <w:pStyle w:val="11"/>
        <w:spacing w:before="0" w:after="0" w:line="300" w:lineRule="exact"/>
      </w:pPr>
    </w:p>
    <w:p>
      <w:pPr>
        <w:pStyle w:val="11"/>
        <w:spacing w:before="0" w:after="0" w:line="300" w:lineRule="exact"/>
      </w:pPr>
    </w:p>
    <w:p>
      <w:pPr>
        <w:pStyle w:val="11"/>
        <w:spacing w:before="0" w:after="0" w:line="300" w:lineRule="exact"/>
      </w:pPr>
    </w:p>
    <w:p>
      <w:pPr>
        <w:pStyle w:val="16"/>
        <w:spacing w:after="0" w:line="440" w:lineRule="exact"/>
        <w:jc w:val="center"/>
      </w:pPr>
      <w:r>
        <w:rPr>
          <w:rFonts w:hint="eastAsia"/>
        </w:rPr>
        <w:t>2020年度部门整体支出绩效自评报告</w:t>
      </w:r>
    </w:p>
    <w:p>
      <w:pPr>
        <w:pStyle w:val="16"/>
        <w:spacing w:after="0" w:line="440" w:lineRule="exact"/>
        <w:jc w:val="both"/>
      </w:pPr>
    </w:p>
    <w:p>
      <w:pPr>
        <w:pStyle w:val="16"/>
        <w:spacing w:after="0" w:line="440" w:lineRule="exact"/>
      </w:pPr>
      <w:bookmarkStart w:id="0" w:name="_GoBack"/>
      <w:bookmarkEnd w:id="0"/>
    </w:p>
    <w:p>
      <w:pPr>
        <w:pStyle w:val="16"/>
        <w:spacing w:after="0" w:line="440" w:lineRule="exact"/>
      </w:pPr>
    </w:p>
    <w:p>
      <w:pPr>
        <w:pStyle w:val="16"/>
        <w:spacing w:after="0" w:line="440" w:lineRule="exact"/>
      </w:pPr>
    </w:p>
    <w:p>
      <w:pPr>
        <w:pStyle w:val="11"/>
        <w:spacing w:before="0" w:after="0" w:line="624" w:lineRule="exact"/>
        <w:ind w:right="1660"/>
        <w:jc w:val="center"/>
        <w:rPr>
          <w:rFonts w:ascii="仿宋_GB2312" w:hAnsi="Calibri" w:eastAsia="仿宋_GB2312" w:cs="Times New Roman"/>
          <w:spacing w:val="0"/>
          <w:sz w:val="32"/>
          <w:szCs w:val="32"/>
        </w:rPr>
      </w:pP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 xml:space="preserve"> 部门名称：（公章) 深圳市南山区海滨实验小学</w:t>
      </w:r>
    </w:p>
    <w:p>
      <w:pPr>
        <w:pStyle w:val="11"/>
        <w:spacing w:before="0" w:after="0" w:line="624" w:lineRule="exact"/>
        <w:ind w:right="1660" w:firstLine="2240" w:firstLineChars="700"/>
        <w:rPr>
          <w:rFonts w:ascii="仿宋_GB2312" w:hAnsi="Calibri" w:eastAsia="仿宋_GB2312" w:cs="Times New Roman"/>
          <w:spacing w:val="0"/>
          <w:sz w:val="32"/>
          <w:szCs w:val="32"/>
        </w:rPr>
      </w:pP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部门法定代表人签字：曾卫东</w:t>
      </w:r>
    </w:p>
    <w:p>
      <w:pPr>
        <w:pStyle w:val="11"/>
        <w:spacing w:before="0" w:after="0" w:line="624" w:lineRule="exact"/>
        <w:ind w:right="1660" w:firstLine="2240" w:firstLineChars="700"/>
        <w:rPr>
          <w:rFonts w:ascii="仿宋_GB2312" w:hAnsi="Calibri" w:eastAsia="仿宋_GB2312" w:cs="Times New Roman"/>
          <w:spacing w:val="0"/>
          <w:sz w:val="32"/>
          <w:szCs w:val="32"/>
        </w:rPr>
      </w:pP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填报人：胡振军</w:t>
      </w:r>
    </w:p>
    <w:p>
      <w:pPr>
        <w:pStyle w:val="11"/>
        <w:spacing w:before="0" w:after="0" w:line="624" w:lineRule="exact"/>
        <w:ind w:firstLine="2240" w:firstLineChars="700"/>
        <w:rPr>
          <w:rFonts w:ascii="仿宋_GB2312" w:hAnsi="Calibri" w:eastAsia="仿宋_GB2312" w:cs="Times New Roman"/>
          <w:spacing w:val="0"/>
          <w:sz w:val="32"/>
          <w:szCs w:val="32"/>
        </w:rPr>
      </w:pP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联系电话：0755-26486019</w:t>
      </w:r>
    </w:p>
    <w:p>
      <w:pPr>
        <w:pStyle w:val="11"/>
        <w:spacing w:before="0" w:after="0" w:line="624" w:lineRule="exact"/>
        <w:ind w:firstLine="2240" w:firstLineChars="700"/>
        <w:rPr>
          <w:rFonts w:ascii="仿宋_GB2312" w:hAnsi="Calibri" w:eastAsia="仿宋_GB2312" w:cs="Times New Roman"/>
          <w:spacing w:val="0"/>
          <w:sz w:val="32"/>
          <w:szCs w:val="32"/>
        </w:rPr>
      </w:pP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填报日期：2021年4月20日</w:t>
      </w:r>
    </w:p>
    <w:p>
      <w:pPr>
        <w:rPr>
          <w:sz w:val="2"/>
          <w:szCs w:val="2"/>
        </w:rPr>
        <w:sectPr>
          <w:pgSz w:w="12240" w:h="15840"/>
          <w:pgMar w:top="1440" w:right="1800" w:bottom="1440" w:left="1800" w:header="720" w:footer="720" w:gutter="0"/>
          <w:cols w:space="720" w:num="1"/>
        </w:sectPr>
      </w:pPr>
      <w:r>
        <w:rPr>
          <w:rFonts w:hint="eastAsia"/>
          <w:sz w:val="2"/>
          <w:szCs w:val="2"/>
        </w:rPr>
        <w:t>20;：</w:t>
      </w:r>
    </w:p>
    <w:p>
      <w:pPr>
        <w:pStyle w:val="11"/>
        <w:spacing w:before="0" w:after="0" w:line="560" w:lineRule="exact"/>
        <w:ind w:firstLine="740"/>
        <w:jc w:val="both"/>
        <w:rPr>
          <w:rFonts w:ascii="黑体" w:hAnsi="黑体" w:eastAsia="黑体" w:cs="Times New Roman"/>
          <w:spacing w:val="0"/>
          <w:sz w:val="32"/>
          <w:szCs w:val="32"/>
        </w:rPr>
      </w:pPr>
      <w:r>
        <w:rPr>
          <w:rFonts w:hint="eastAsia" w:ascii="黑体" w:hAnsi="黑体" w:eastAsia="黑体" w:cs="Times New Roman"/>
          <w:spacing w:val="0"/>
          <w:sz w:val="32"/>
          <w:szCs w:val="32"/>
        </w:rPr>
        <w:t>一、单位基本情况</w:t>
      </w:r>
    </w:p>
    <w:p>
      <w:pPr>
        <w:pStyle w:val="11"/>
        <w:spacing w:before="0" w:after="0" w:line="560" w:lineRule="exact"/>
        <w:ind w:firstLine="740"/>
        <w:jc w:val="both"/>
        <w:rPr>
          <w:rFonts w:ascii="楷体" w:hAnsi="楷体" w:eastAsia="楷体" w:cs="Times New Roman"/>
          <w:b/>
          <w:spacing w:val="0"/>
          <w:sz w:val="32"/>
          <w:szCs w:val="32"/>
        </w:rPr>
      </w:pPr>
      <w:r>
        <w:rPr>
          <w:rFonts w:hint="eastAsia" w:ascii="楷体" w:hAnsi="楷体" w:eastAsia="楷体" w:cs="Times New Roman"/>
          <w:b/>
          <w:spacing w:val="0"/>
          <w:sz w:val="32"/>
          <w:szCs w:val="32"/>
        </w:rPr>
        <w:t>(一）</w:t>
      </w:r>
      <w:r>
        <w:rPr>
          <w:rFonts w:hint="eastAsia" w:ascii="楷体" w:hAnsi="楷体" w:eastAsia="楷体" w:cs="Times New Roman"/>
          <w:b/>
          <w:spacing w:val="0"/>
          <w:sz w:val="32"/>
          <w:szCs w:val="32"/>
        </w:rPr>
        <w:tab/>
      </w:r>
      <w:r>
        <w:rPr>
          <w:rFonts w:hint="eastAsia" w:ascii="楷体" w:hAnsi="楷体" w:eastAsia="楷体" w:cs="Times New Roman"/>
          <w:b/>
          <w:spacing w:val="0"/>
          <w:sz w:val="32"/>
          <w:szCs w:val="32"/>
        </w:rPr>
        <w:t>单位主要职能</w:t>
      </w:r>
    </w:p>
    <w:p>
      <w:pPr>
        <w:pStyle w:val="11"/>
        <w:spacing w:before="0" w:after="0" w:line="560" w:lineRule="exact"/>
        <w:ind w:firstLine="640" w:firstLineChars="200"/>
        <w:jc w:val="both"/>
        <w:rPr>
          <w:rFonts w:ascii="仿宋_GB2312" w:hAnsi="Calibri" w:eastAsia="仿宋_GB2312" w:cs="Times New Roman"/>
          <w:spacing w:val="0"/>
          <w:sz w:val="32"/>
          <w:szCs w:val="32"/>
        </w:rPr>
      </w:pP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深圳市南山区海滨实验小学是深圳市南山区教育局直属公办学校，创建于1995年9月，学校现为“一校两部”的办学格局，学校</w:t>
      </w:r>
      <w:r>
        <w:rPr>
          <w:rFonts w:ascii="仿宋_GB2312" w:hAnsi="Calibri" w:eastAsia="仿宋_GB2312" w:cs="Times New Roman"/>
          <w:spacing w:val="0"/>
          <w:sz w:val="32"/>
          <w:szCs w:val="32"/>
        </w:rPr>
        <w:t>秉承南山教育理念，以特色造就卓越品牌，以文化引领内涵发展，走出了一条“特色立校、文化兴校”的发展之路，成为了南山</w:t>
      </w:r>
      <w:r>
        <w:fldChar w:fldCharType="begin"/>
      </w:r>
      <w:r>
        <w:instrText xml:space="preserve"> HYPERLINK "https://baike.baidu.com/item/%E7%B4%A0%E8%B4%A8%E6%95%99%E8%82%B2" \t "https://baike.baidu.com/item/%E6%B7%B1%E5%9C%B3%E5%B8%82%E5%8D%97%E5%B1%B1%E5%8C%BA%E6%B5%B7%E6%BB%A8%E5%B0%8F%E5%AD%A6/_blank" </w:instrText>
      </w:r>
      <w:r>
        <w:fldChar w:fldCharType="separate"/>
      </w:r>
      <w:r>
        <w:rPr>
          <w:rFonts w:ascii="仿宋_GB2312" w:hAnsi="Calibri" w:eastAsia="仿宋_GB2312" w:cs="Times New Roman"/>
          <w:spacing w:val="0"/>
          <w:sz w:val="32"/>
          <w:szCs w:val="32"/>
        </w:rPr>
        <w:t>素质教育</w:t>
      </w:r>
      <w:r>
        <w:rPr>
          <w:rFonts w:ascii="仿宋_GB2312" w:hAnsi="Calibri" w:eastAsia="仿宋_GB2312" w:cs="Times New Roman"/>
          <w:spacing w:val="0"/>
          <w:sz w:val="32"/>
          <w:szCs w:val="32"/>
        </w:rPr>
        <w:fldChar w:fldCharType="end"/>
      </w:r>
      <w:r>
        <w:rPr>
          <w:rFonts w:ascii="仿宋_GB2312" w:hAnsi="Calibri" w:eastAsia="仿宋_GB2312" w:cs="Times New Roman"/>
          <w:spacing w:val="0"/>
          <w:sz w:val="32"/>
          <w:szCs w:val="32"/>
        </w:rPr>
        <w:t>的一张亮丽名片，先后荣获“全国学校艺术教育工作先进单位”、“深圳市文明示范单位”、“深圳市教育系统先进单位”、“深圳市学校艺术教育先进单位”、“深圳市器乐教学示范学校”、“深圳市绿色学校”、“南山区德育创新学校”、“南山区现代化示范学校”等荣誉称号，并两次获得“深圳市办学效益奖”。</w:t>
      </w: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学校的宗旨是：建设幸福教育家园。学校的宗旨：以美启真，倡导通过艺术的手段，来启发学生掌握真知，培养真情，学做真人。</w:t>
      </w:r>
    </w:p>
    <w:p>
      <w:pPr>
        <w:pStyle w:val="11"/>
        <w:spacing w:before="0" w:after="0" w:line="560" w:lineRule="exact"/>
        <w:ind w:firstLine="740"/>
        <w:jc w:val="both"/>
        <w:rPr>
          <w:rFonts w:ascii="仿宋_GB2312" w:hAnsi="Calibri" w:eastAsia="仿宋_GB2312" w:cs="Times New Roman"/>
          <w:spacing w:val="0"/>
          <w:sz w:val="32"/>
          <w:szCs w:val="32"/>
        </w:rPr>
      </w:pP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截至2020年12月31日，我校人员核定编制168名，在编148名；现有离退休人员11名;公务车2辆。</w:t>
      </w:r>
    </w:p>
    <w:p>
      <w:pPr>
        <w:pStyle w:val="11"/>
        <w:spacing w:before="0" w:after="0" w:line="560" w:lineRule="exact"/>
        <w:ind w:firstLine="740"/>
        <w:jc w:val="both"/>
        <w:rPr>
          <w:rFonts w:ascii="楷体" w:hAnsi="楷体" w:eastAsia="楷体" w:cs="Times New Roman"/>
          <w:b/>
          <w:spacing w:val="0"/>
          <w:sz w:val="32"/>
          <w:szCs w:val="32"/>
        </w:rPr>
      </w:pPr>
      <w:r>
        <w:rPr>
          <w:rFonts w:hint="eastAsia" w:ascii="楷体" w:hAnsi="楷体" w:eastAsia="楷体" w:cs="Times New Roman"/>
          <w:b/>
          <w:spacing w:val="0"/>
          <w:sz w:val="32"/>
          <w:szCs w:val="32"/>
        </w:rPr>
        <w:t>(二）</w:t>
      </w:r>
      <w:r>
        <w:rPr>
          <w:rFonts w:hint="eastAsia" w:ascii="楷体" w:hAnsi="楷体" w:eastAsia="楷体" w:cs="Times New Roman"/>
          <w:b/>
          <w:spacing w:val="0"/>
          <w:sz w:val="32"/>
          <w:szCs w:val="32"/>
        </w:rPr>
        <w:tab/>
      </w:r>
      <w:r>
        <w:rPr>
          <w:rFonts w:hint="eastAsia" w:ascii="楷体" w:hAnsi="楷体" w:eastAsia="楷体" w:cs="Times New Roman"/>
          <w:b/>
          <w:spacing w:val="0"/>
          <w:sz w:val="32"/>
          <w:szCs w:val="32"/>
        </w:rPr>
        <w:t>年度总体工作和重点工作任务</w:t>
      </w:r>
    </w:p>
    <w:p>
      <w:pPr>
        <w:spacing w:line="360" w:lineRule="auto"/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海滨实验小学以以美启真为核心校，倡导通过艺术的手段，来启发学生掌握真知，培养真情，学做真人。这一年，因为疫情，作为普通人，我们经受住了生存的考验；作为教育人，我们迎接了前所未有的挑战。这一年，我们重新审视教育，以学生为本，潜心育人；我们携手奋勇前行，忧思民族，放眼未来。全体海滨人戮力同心，化危为机，学校全面工作再上新台阶，党建，艺术，创文，线上教学，家校共育等方面展现新气象。</w:t>
      </w:r>
    </w:p>
    <w:p>
      <w:pPr>
        <w:pStyle w:val="11"/>
        <w:spacing w:before="0" w:after="0" w:line="560" w:lineRule="exact"/>
        <w:ind w:firstLine="640" w:firstLineChars="200"/>
        <w:jc w:val="both"/>
        <w:rPr>
          <w:rFonts w:ascii="仿宋_GB2312" w:hAnsi="Calibri" w:eastAsia="仿宋_GB2312" w:cs="Times New Roman"/>
          <w:spacing w:val="0"/>
          <w:sz w:val="32"/>
          <w:szCs w:val="32"/>
        </w:rPr>
      </w:pPr>
    </w:p>
    <w:p>
      <w:pPr>
        <w:pStyle w:val="11"/>
        <w:spacing w:before="0" w:after="0" w:line="560" w:lineRule="exact"/>
        <w:ind w:firstLine="640" w:firstLineChars="200"/>
        <w:jc w:val="both"/>
        <w:rPr>
          <w:rFonts w:ascii="仿宋_GB2312" w:hAnsi="Calibri" w:eastAsia="仿宋_GB2312" w:cs="Times New Roman"/>
          <w:spacing w:val="0"/>
          <w:sz w:val="32"/>
          <w:szCs w:val="32"/>
        </w:rPr>
      </w:pP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2020年度重点工作任务如下：</w:t>
      </w:r>
    </w:p>
    <w:p>
      <w:pPr>
        <w:spacing w:line="360" w:lineRule="auto"/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1、党建工作持续推进</w:t>
      </w:r>
    </w:p>
    <w:p>
      <w:pPr>
        <w:spacing w:line="360" w:lineRule="auto"/>
        <w:ind w:left="63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2、艺术战“疫”，彰显海滨特色</w:t>
      </w:r>
    </w:p>
    <w:p>
      <w:pPr>
        <w:spacing w:line="360" w:lineRule="auto"/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3、教职工全员抗疫，确保学生安全</w:t>
      </w:r>
    </w:p>
    <w:p>
      <w:pPr>
        <w:spacing w:line="360" w:lineRule="auto"/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4、全区“创文”工作，且看海滨标杆</w:t>
      </w:r>
    </w:p>
    <w:p>
      <w:pPr>
        <w:spacing w:line="360" w:lineRule="auto"/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5、在线教学，助力市区空中课堂</w:t>
      </w:r>
    </w:p>
    <w:p>
      <w:pPr>
        <w:spacing w:line="360" w:lineRule="auto"/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6、家校共育，关注学生心理健康</w:t>
      </w:r>
    </w:p>
    <w:p>
      <w:pPr>
        <w:spacing w:line="360" w:lineRule="auto"/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7、精准帮扶，实现教育资源共享</w:t>
      </w:r>
    </w:p>
    <w:p>
      <w:pPr>
        <w:spacing w:line="360" w:lineRule="auto"/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8、金牌社团，亮相深圳大剧院</w:t>
      </w:r>
    </w:p>
    <w:p>
      <w:pPr>
        <w:pStyle w:val="11"/>
        <w:spacing w:before="0" w:after="0" w:line="560" w:lineRule="exact"/>
        <w:ind w:firstLine="740"/>
        <w:jc w:val="both"/>
        <w:rPr>
          <w:rFonts w:ascii="楷体" w:hAnsi="楷体" w:eastAsia="楷体" w:cs="Times New Roman"/>
          <w:b/>
          <w:spacing w:val="0"/>
          <w:sz w:val="32"/>
          <w:szCs w:val="32"/>
        </w:rPr>
      </w:pPr>
      <w:r>
        <w:rPr>
          <w:rFonts w:hint="eastAsia" w:ascii="楷体" w:hAnsi="楷体" w:eastAsia="楷体" w:cs="Times New Roman"/>
          <w:b/>
          <w:spacing w:val="0"/>
          <w:sz w:val="32"/>
          <w:szCs w:val="32"/>
        </w:rPr>
        <w:t>(三）</w:t>
      </w:r>
      <w:r>
        <w:rPr>
          <w:rFonts w:hint="eastAsia" w:ascii="楷体" w:hAnsi="楷体" w:eastAsia="楷体" w:cs="Times New Roman"/>
          <w:b/>
          <w:spacing w:val="0"/>
          <w:sz w:val="32"/>
          <w:szCs w:val="32"/>
        </w:rPr>
        <w:tab/>
      </w:r>
      <w:r>
        <w:rPr>
          <w:rFonts w:hint="eastAsia" w:ascii="楷体" w:hAnsi="楷体" w:eastAsia="楷体" w:cs="Times New Roman"/>
          <w:b/>
          <w:spacing w:val="0"/>
          <w:sz w:val="32"/>
          <w:szCs w:val="32"/>
        </w:rPr>
        <w:t>2020年单位整体支出预算编制情况</w:t>
      </w:r>
    </w:p>
    <w:p>
      <w:pPr>
        <w:pStyle w:val="11"/>
        <w:spacing w:before="0" w:after="0" w:line="560" w:lineRule="exact"/>
        <w:ind w:firstLine="640" w:firstLineChars="200"/>
        <w:jc w:val="both"/>
        <w:rPr>
          <w:rFonts w:ascii="仿宋_GB2312" w:hAnsi="Calibri" w:eastAsia="仿宋_GB2312" w:cs="Times New Roman"/>
          <w:spacing w:val="0"/>
          <w:sz w:val="32"/>
          <w:szCs w:val="32"/>
        </w:rPr>
      </w:pP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本校2020年度预算按照《中华人民共和国预算法》的规定要求，结合本校的职能职责，工作重点，在做好分析、测算的基础上，进行项目预算绩效的编制，确保预算编制的科学性、合理性及准确性。</w:t>
      </w:r>
    </w:p>
    <w:p>
      <w:pPr>
        <w:pStyle w:val="11"/>
        <w:spacing w:before="0" w:after="0" w:line="560" w:lineRule="exact"/>
        <w:ind w:firstLine="640" w:firstLineChars="200"/>
        <w:jc w:val="both"/>
        <w:rPr>
          <w:rFonts w:ascii="仿宋_GB2312" w:hAnsi="Calibri" w:eastAsia="仿宋_GB2312" w:cs="Times New Roman"/>
          <w:spacing w:val="0"/>
          <w:sz w:val="32"/>
          <w:szCs w:val="32"/>
        </w:rPr>
      </w:pP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本校编制的预算符合财政部门关于预算编制的要求和规范，预算按照具体项目设置绩效目标，绩效指标明确，覆盖面符合客观实际情况。在不同项目、不同用途之间合理分配，根据实际情况需要调整预算的，按规定履行调整报批手续。</w:t>
      </w:r>
    </w:p>
    <w:p>
      <w:pPr>
        <w:snapToGrid w:val="0"/>
        <w:spacing w:line="580" w:lineRule="exact"/>
        <w:ind w:firstLine="640" w:firstLineChars="200"/>
        <w:rPr>
          <w:rFonts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预算编制的具体情况如下述：</w:t>
      </w:r>
    </w:p>
    <w:p>
      <w:pPr>
        <w:numPr>
          <w:ilvl w:val="0"/>
          <w:numId w:val="1"/>
        </w:numPr>
        <w:snapToGrid w:val="0"/>
        <w:spacing w:line="580" w:lineRule="exact"/>
        <w:ind w:firstLine="640" w:firstLineChars="200"/>
        <w:rPr>
          <w:rFonts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年初总预算收入为10477.32万元，调整后总预算收入为10691.84万元。</w:t>
      </w:r>
    </w:p>
    <w:p>
      <w:pPr>
        <w:snapToGrid w:val="0"/>
        <w:spacing w:line="580" w:lineRule="exact"/>
        <w:ind w:firstLine="640" w:firstLineChars="200"/>
        <w:rPr>
          <w:rFonts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（2）年初总预算支出为10477.32万元，其中基本支出为7401.36万元，项目支出为3075.96万元；调整后总预算支出为10691.84万元，其中基本支出为7408.66万元，项目支出为3283.18万元。</w:t>
      </w:r>
    </w:p>
    <w:p>
      <w:pPr>
        <w:pStyle w:val="11"/>
        <w:spacing w:before="0" w:after="0" w:line="560" w:lineRule="exact"/>
        <w:ind w:firstLine="640" w:firstLineChars="200"/>
        <w:jc w:val="both"/>
        <w:rPr>
          <w:rFonts w:ascii="仿宋_GB2312" w:hAnsi="Calibri" w:eastAsia="仿宋_GB2312" w:cs="Times New Roman"/>
          <w:spacing w:val="0"/>
          <w:sz w:val="32"/>
          <w:szCs w:val="32"/>
        </w:rPr>
      </w:pP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以上2020年度预算信息本校以按照规定进行已公布。</w:t>
      </w:r>
    </w:p>
    <w:p>
      <w:pPr>
        <w:pStyle w:val="11"/>
        <w:spacing w:before="0" w:after="0" w:line="560" w:lineRule="exact"/>
        <w:ind w:firstLine="740"/>
        <w:jc w:val="both"/>
        <w:rPr>
          <w:rFonts w:ascii="楷体" w:hAnsi="楷体" w:eastAsia="楷体" w:cs="Times New Roman"/>
          <w:b/>
          <w:spacing w:val="0"/>
          <w:sz w:val="32"/>
          <w:szCs w:val="32"/>
        </w:rPr>
      </w:pPr>
      <w:r>
        <w:rPr>
          <w:rFonts w:hint="eastAsia" w:ascii="楷体" w:hAnsi="楷体" w:eastAsia="楷体" w:cs="Times New Roman"/>
          <w:b/>
          <w:spacing w:val="0"/>
          <w:sz w:val="32"/>
          <w:szCs w:val="32"/>
        </w:rPr>
        <w:t xml:space="preserve"> (四）2020年单位整体支出预算执行情况</w:t>
      </w:r>
    </w:p>
    <w:p>
      <w:pPr>
        <w:pStyle w:val="11"/>
        <w:numPr>
          <w:ilvl w:val="0"/>
          <w:numId w:val="2"/>
        </w:numPr>
        <w:spacing w:before="0" w:after="0" w:line="560" w:lineRule="exact"/>
        <w:ind w:firstLine="640" w:firstLineChars="200"/>
        <w:jc w:val="both"/>
        <w:rPr>
          <w:rFonts w:ascii="仿宋_GB2312" w:hAnsi="Calibri" w:eastAsia="仿宋_GB2312" w:cs="Times New Roman"/>
          <w:spacing w:val="0"/>
          <w:sz w:val="32"/>
          <w:szCs w:val="32"/>
        </w:rPr>
      </w:pP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资金管理</w:t>
      </w:r>
    </w:p>
    <w:p>
      <w:pPr>
        <w:pStyle w:val="11"/>
        <w:spacing w:before="0" w:after="0" w:line="560" w:lineRule="exact"/>
        <w:ind w:firstLine="640" w:firstLineChars="200"/>
        <w:jc w:val="both"/>
        <w:rPr>
          <w:rFonts w:ascii="仿宋_GB2312" w:hAnsi="Calibri" w:eastAsia="仿宋_GB2312" w:cs="Times New Roman"/>
          <w:spacing w:val="0"/>
          <w:sz w:val="32"/>
          <w:szCs w:val="32"/>
        </w:rPr>
      </w:pPr>
      <w:r>
        <w:rPr>
          <w:rFonts w:ascii="仿宋_GB2312" w:hAnsi="Calibri" w:eastAsia="仿宋_GB2312" w:cs="Times New Roman"/>
          <w:spacing w:val="0"/>
          <w:sz w:val="32"/>
          <w:szCs w:val="32"/>
        </w:rPr>
        <w:t>20</w:t>
      </w: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20</w:t>
      </w:r>
      <w:r>
        <w:rPr>
          <w:rFonts w:ascii="仿宋_GB2312" w:hAnsi="Calibri" w:eastAsia="仿宋_GB2312" w:cs="Times New Roman"/>
          <w:spacing w:val="0"/>
          <w:sz w:val="32"/>
          <w:szCs w:val="32"/>
        </w:rPr>
        <w:t>年本</w:t>
      </w: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校</w:t>
      </w:r>
      <w:r>
        <w:rPr>
          <w:rFonts w:ascii="仿宋_GB2312" w:hAnsi="Calibri" w:eastAsia="仿宋_GB2312" w:cs="Times New Roman"/>
          <w:spacing w:val="0"/>
          <w:sz w:val="32"/>
          <w:szCs w:val="32"/>
        </w:rPr>
        <w:t>年初预算支出</w:t>
      </w: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10477.32</w:t>
      </w:r>
      <w:r>
        <w:rPr>
          <w:rFonts w:ascii="仿宋_GB2312" w:hAnsi="Calibri" w:eastAsia="仿宋_GB2312" w:cs="Times New Roman"/>
          <w:spacing w:val="0"/>
          <w:sz w:val="32"/>
          <w:szCs w:val="32"/>
        </w:rPr>
        <w:t>万元，其中基本支出</w:t>
      </w: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7401.36</w:t>
      </w:r>
      <w:r>
        <w:rPr>
          <w:rFonts w:ascii="仿宋_GB2312" w:hAnsi="Calibri" w:eastAsia="仿宋_GB2312" w:cs="Times New Roman"/>
          <w:spacing w:val="0"/>
          <w:sz w:val="32"/>
          <w:szCs w:val="32"/>
        </w:rPr>
        <w:t>万元（包含人员经费支出</w:t>
      </w: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7035.43</w:t>
      </w:r>
      <w:r>
        <w:rPr>
          <w:rFonts w:ascii="仿宋_GB2312" w:hAnsi="Calibri" w:eastAsia="仿宋_GB2312" w:cs="Times New Roman"/>
          <w:spacing w:val="0"/>
          <w:sz w:val="32"/>
          <w:szCs w:val="32"/>
        </w:rPr>
        <w:t>万元、日常公用经费支出</w:t>
      </w: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365.93</w:t>
      </w:r>
      <w:r>
        <w:rPr>
          <w:rFonts w:ascii="仿宋_GB2312" w:hAnsi="Calibri" w:eastAsia="仿宋_GB2312" w:cs="Times New Roman"/>
          <w:spacing w:val="0"/>
          <w:sz w:val="32"/>
          <w:szCs w:val="32"/>
        </w:rPr>
        <w:t>万元），项目支出</w:t>
      </w: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3075.96</w:t>
      </w:r>
      <w:r>
        <w:rPr>
          <w:rFonts w:ascii="仿宋_GB2312" w:hAnsi="Calibri" w:eastAsia="仿宋_GB2312" w:cs="Times New Roman"/>
          <w:spacing w:val="0"/>
          <w:sz w:val="32"/>
          <w:szCs w:val="32"/>
        </w:rPr>
        <w:t>万元; 20</w:t>
      </w: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20</w:t>
      </w:r>
      <w:r>
        <w:rPr>
          <w:rFonts w:ascii="仿宋_GB2312" w:hAnsi="Calibri" w:eastAsia="仿宋_GB2312" w:cs="Times New Roman"/>
          <w:spacing w:val="0"/>
          <w:sz w:val="32"/>
          <w:szCs w:val="32"/>
        </w:rPr>
        <w:t>年本</w:t>
      </w: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校</w:t>
      </w:r>
      <w:r>
        <w:rPr>
          <w:rFonts w:ascii="仿宋_GB2312" w:hAnsi="Calibri" w:eastAsia="仿宋_GB2312" w:cs="Times New Roman"/>
          <w:spacing w:val="0"/>
          <w:sz w:val="32"/>
          <w:szCs w:val="32"/>
        </w:rPr>
        <w:t>调整后预算支出</w:t>
      </w: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10691.84</w:t>
      </w:r>
      <w:r>
        <w:rPr>
          <w:rFonts w:ascii="仿宋_GB2312" w:hAnsi="Calibri" w:eastAsia="仿宋_GB2312" w:cs="Times New Roman"/>
          <w:spacing w:val="0"/>
          <w:sz w:val="32"/>
          <w:szCs w:val="32"/>
        </w:rPr>
        <w:t>万元，其中基本支出</w:t>
      </w: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7408.65</w:t>
      </w:r>
      <w:r>
        <w:rPr>
          <w:rFonts w:ascii="仿宋_GB2312" w:hAnsi="Calibri" w:eastAsia="仿宋_GB2312" w:cs="Times New Roman"/>
          <w:spacing w:val="0"/>
          <w:sz w:val="32"/>
          <w:szCs w:val="32"/>
        </w:rPr>
        <w:t>万元（包含人员经费支出</w:t>
      </w: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7014.29</w:t>
      </w:r>
      <w:r>
        <w:rPr>
          <w:rFonts w:ascii="仿宋_GB2312" w:hAnsi="Calibri" w:eastAsia="仿宋_GB2312" w:cs="Times New Roman"/>
          <w:spacing w:val="0"/>
          <w:sz w:val="32"/>
          <w:szCs w:val="32"/>
        </w:rPr>
        <w:t>万元</w:t>
      </w: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，</w:t>
      </w:r>
      <w:r>
        <w:rPr>
          <w:rFonts w:ascii="仿宋_GB2312" w:hAnsi="Calibri" w:eastAsia="仿宋_GB2312" w:cs="Times New Roman"/>
          <w:spacing w:val="0"/>
          <w:sz w:val="32"/>
          <w:szCs w:val="32"/>
        </w:rPr>
        <w:t>日常公用经费支出</w:t>
      </w: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3283.18</w:t>
      </w:r>
      <w:r>
        <w:rPr>
          <w:rFonts w:ascii="仿宋_GB2312" w:hAnsi="Calibri" w:eastAsia="仿宋_GB2312" w:cs="Times New Roman"/>
          <w:spacing w:val="0"/>
          <w:sz w:val="32"/>
          <w:szCs w:val="32"/>
        </w:rPr>
        <w:t>万元），项目支出</w:t>
      </w: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3283.18</w:t>
      </w:r>
      <w:r>
        <w:rPr>
          <w:rFonts w:ascii="仿宋_GB2312" w:hAnsi="Calibri" w:eastAsia="仿宋_GB2312" w:cs="Times New Roman"/>
          <w:spacing w:val="0"/>
          <w:sz w:val="32"/>
          <w:szCs w:val="32"/>
        </w:rPr>
        <w:t>万元。 20</w:t>
      </w: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20</w:t>
      </w:r>
      <w:r>
        <w:rPr>
          <w:rFonts w:ascii="仿宋_GB2312" w:hAnsi="Calibri" w:eastAsia="仿宋_GB2312" w:cs="Times New Roman"/>
          <w:spacing w:val="0"/>
          <w:sz w:val="32"/>
          <w:szCs w:val="32"/>
        </w:rPr>
        <w:t>年本</w:t>
      </w: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校</w:t>
      </w:r>
      <w:r>
        <w:rPr>
          <w:rFonts w:ascii="仿宋_GB2312" w:hAnsi="Calibri" w:eastAsia="仿宋_GB2312" w:cs="Times New Roman"/>
          <w:spacing w:val="0"/>
          <w:sz w:val="32"/>
          <w:szCs w:val="32"/>
        </w:rPr>
        <w:t>决算支出数</w:t>
      </w: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10433.83</w:t>
      </w:r>
      <w:r>
        <w:rPr>
          <w:rFonts w:ascii="仿宋_GB2312" w:hAnsi="Calibri" w:eastAsia="仿宋_GB2312" w:cs="Times New Roman"/>
          <w:spacing w:val="0"/>
          <w:sz w:val="32"/>
          <w:szCs w:val="32"/>
        </w:rPr>
        <w:t>万元,其中基本支出</w:t>
      </w: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7357.38</w:t>
      </w:r>
      <w:r>
        <w:rPr>
          <w:rFonts w:ascii="仿宋_GB2312" w:hAnsi="Calibri" w:eastAsia="仿宋_GB2312" w:cs="Times New Roman"/>
          <w:spacing w:val="0"/>
          <w:sz w:val="32"/>
          <w:szCs w:val="32"/>
        </w:rPr>
        <w:t>万元（包含人员经费支出</w:t>
      </w: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6996.78</w:t>
      </w:r>
      <w:r>
        <w:rPr>
          <w:rFonts w:ascii="仿宋_GB2312" w:hAnsi="Calibri" w:eastAsia="仿宋_GB2312" w:cs="Times New Roman"/>
          <w:spacing w:val="0"/>
          <w:sz w:val="32"/>
          <w:szCs w:val="32"/>
        </w:rPr>
        <w:t>万元、日常公用经费支出</w:t>
      </w: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360.59</w:t>
      </w:r>
      <w:r>
        <w:rPr>
          <w:rFonts w:ascii="仿宋_GB2312" w:hAnsi="Calibri" w:eastAsia="仿宋_GB2312" w:cs="Times New Roman"/>
          <w:spacing w:val="0"/>
          <w:sz w:val="32"/>
          <w:szCs w:val="32"/>
        </w:rPr>
        <w:t>万元），项目支出</w:t>
      </w: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3076.45</w:t>
      </w:r>
      <w:r>
        <w:rPr>
          <w:rFonts w:ascii="仿宋_GB2312" w:hAnsi="Calibri" w:eastAsia="仿宋_GB2312" w:cs="Times New Roman"/>
          <w:spacing w:val="0"/>
          <w:sz w:val="32"/>
          <w:szCs w:val="32"/>
        </w:rPr>
        <w:t>万元。20</w:t>
      </w: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20</w:t>
      </w:r>
      <w:r>
        <w:rPr>
          <w:rFonts w:ascii="仿宋_GB2312" w:hAnsi="Calibri" w:eastAsia="仿宋_GB2312" w:cs="Times New Roman"/>
          <w:spacing w:val="0"/>
          <w:sz w:val="32"/>
          <w:szCs w:val="32"/>
        </w:rPr>
        <w:t>年末完成全年预算的9</w:t>
      </w: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7.58</w:t>
      </w:r>
      <w:r>
        <w:rPr>
          <w:rFonts w:ascii="仿宋_GB2312" w:hAnsi="Calibri" w:eastAsia="仿宋_GB2312" w:cs="Times New Roman"/>
          <w:spacing w:val="0"/>
          <w:sz w:val="32"/>
          <w:szCs w:val="32"/>
        </w:rPr>
        <w:t>%</w:t>
      </w: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，预算执行率良好</w:t>
      </w:r>
      <w:r>
        <w:rPr>
          <w:rFonts w:ascii="仿宋_GB2312" w:hAnsi="Calibri" w:eastAsia="仿宋_GB2312" w:cs="Times New Roman"/>
          <w:spacing w:val="0"/>
          <w:sz w:val="32"/>
          <w:szCs w:val="32"/>
        </w:rPr>
        <w:t xml:space="preserve">。 针对资金管理采用收支两条线，严格区分收入与支出。所有的资金支出严格按照报财政部门批复的预算执行，预算规定招标的项目，严格按招标制度流程执行，预算规定政府进行统一采购的，严格按政府统一采购流程执行。  </w:t>
      </w:r>
    </w:p>
    <w:p>
      <w:pPr>
        <w:pStyle w:val="11"/>
        <w:spacing w:before="0" w:after="0" w:line="560" w:lineRule="exact"/>
        <w:ind w:firstLine="720" w:firstLineChars="200"/>
        <w:jc w:val="both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2、项目管理</w:t>
      </w:r>
    </w:p>
    <w:p>
      <w:pPr>
        <w:pStyle w:val="11"/>
        <w:spacing w:before="0" w:after="0" w:line="560" w:lineRule="exact"/>
        <w:ind w:firstLine="640" w:firstLineChars="200"/>
        <w:jc w:val="both"/>
        <w:rPr>
          <w:rFonts w:ascii="仿宋_GB2312" w:hAnsi="Calibri" w:eastAsia="仿宋_GB2312" w:cs="Times New Roman"/>
          <w:spacing w:val="0"/>
          <w:sz w:val="32"/>
          <w:szCs w:val="32"/>
        </w:rPr>
      </w:pP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本校2020年度项目调整预算支出3283.18万元，2020年度项目决算支出3076.45万元。各项目的实施由专人负责，并对各项目支出建立专门的台账，各项目的所有款项支付均按照报批后的预算执行。</w:t>
      </w:r>
    </w:p>
    <w:p>
      <w:pPr>
        <w:pStyle w:val="11"/>
        <w:spacing w:before="0" w:after="0" w:line="560" w:lineRule="exact"/>
        <w:ind w:firstLine="720" w:firstLineChars="200"/>
        <w:jc w:val="both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3、资产管理</w:t>
      </w:r>
    </w:p>
    <w:p>
      <w:pPr>
        <w:spacing w:line="360" w:lineRule="auto"/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2020年度年末固定资产原值合计5848.33万元。</w:t>
      </w:r>
      <w:r>
        <w:rPr>
          <w:rFonts w:hint="eastAsia" w:ascii="仿宋_GB2312" w:hAnsi="Calibri" w:eastAsia="仿宋_GB2312"/>
          <w:sz w:val="32"/>
          <w:szCs w:val="32"/>
        </w:rPr>
        <w:t>本校对资产设备设立专人管理，建立了专门的资产设备管理系统，各项资产设备均贴有资产标签，将责任落实到个人。本年度购买的资产设备均按照报批后的预算执行，针对资产设备的购买，本校执行了以下程序：⑴需求部门提出申请并编制申请书。⑵资产管理员依据申请书按照报批后的预算规定编制采购申请书。⑶管理部门依据采购制度规定的权限进行审批。⑷上报上级主管部门审批。⑸执行政府统一采购。⑹资产管理员进行验收登记，并进行分配，将资产使用管理责任具体到个人。</w:t>
      </w:r>
    </w:p>
    <w:p>
      <w:pPr>
        <w:pStyle w:val="11"/>
        <w:spacing w:before="0" w:after="0" w:line="560" w:lineRule="exact"/>
        <w:ind w:left="420" w:leftChars="200"/>
        <w:jc w:val="both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4、本校2020年度年末收支结转和结余情况：</w:t>
      </w:r>
    </w:p>
    <w:p>
      <w:pPr>
        <w:pStyle w:val="13"/>
        <w:spacing w:line="360" w:lineRule="auto"/>
        <w:ind w:firstLine="780"/>
        <w:jc w:val="both"/>
        <w:rPr>
          <w:rFonts w:ascii="仿宋_GB2312" w:hAnsi="Calibri" w:eastAsia="仿宋_GB2312" w:cs="Times New Roman"/>
          <w:b w:val="0"/>
          <w:bCs w:val="0"/>
          <w:sz w:val="32"/>
          <w:szCs w:val="32"/>
        </w:rPr>
      </w:pPr>
      <w:r>
        <w:rPr>
          <w:rFonts w:hint="eastAsia" w:ascii="仿宋_GB2312" w:hAnsi="Times New Roman" w:eastAsia="仿宋_GB2312" w:cs="Times New Roman"/>
          <w:b w:val="0"/>
          <w:bCs w:val="0"/>
          <w:sz w:val="32"/>
          <w:szCs w:val="32"/>
        </w:rPr>
        <w:t>本校2020年度总体结余情况：年初结转和结余330.28万元，本年收入10513.39万元，支出10433.83万元；年末收支结余409.84万元；结余结转率= 409.84万元/( 330.28万元+ 10513.39万元)*100%=3.78% 。</w:t>
      </w:r>
    </w:p>
    <w:p>
      <w:pPr>
        <w:pStyle w:val="11"/>
        <w:numPr>
          <w:ilvl w:val="0"/>
          <w:numId w:val="3"/>
        </w:numPr>
        <w:spacing w:before="0" w:after="0" w:line="560" w:lineRule="exact"/>
        <w:jc w:val="both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制度管理</w:t>
      </w:r>
    </w:p>
    <w:p>
      <w:pPr>
        <w:pStyle w:val="2"/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楷体_GB2312" w:eastAsia="仿宋_GB2312" w:cs="楷体_GB2312"/>
          <w:bCs/>
          <w:sz w:val="32"/>
          <w:szCs w:val="32"/>
        </w:rPr>
        <w:t>我校结合单位的业务性质、业务范围及管理架构，特编制了《内部控制手册》，建立了《财务管理制度》、《预算管理制度》、《固定资产管理制度》等一系列管理制度，涵盖我校的主要经济业务流程，针对本校各主要业务流程的风险因素或事项设计了管控措施，明确了管控措施的实施主体和责任承担主体，为建立并保持良好的内部控制体系提供了制度上的保证，促进我单位各项工作健康发展。</w:t>
      </w:r>
    </w:p>
    <w:p>
      <w:pPr>
        <w:pStyle w:val="11"/>
        <w:spacing w:before="0" w:after="0" w:line="560" w:lineRule="exact"/>
        <w:ind w:firstLine="740"/>
        <w:jc w:val="both"/>
        <w:rPr>
          <w:rFonts w:ascii="黑体" w:hAnsi="黑体" w:eastAsia="黑体" w:cs="Times New Roman"/>
          <w:spacing w:val="0"/>
          <w:sz w:val="32"/>
          <w:szCs w:val="32"/>
        </w:rPr>
      </w:pPr>
      <w:r>
        <w:rPr>
          <w:rFonts w:hint="eastAsia" w:ascii="黑体" w:hAnsi="黑体" w:eastAsia="黑体" w:cs="Times New Roman"/>
          <w:spacing w:val="0"/>
          <w:sz w:val="32"/>
          <w:szCs w:val="32"/>
        </w:rPr>
        <w:t>二、单位主要履职绩效分析</w:t>
      </w:r>
    </w:p>
    <w:p>
      <w:pPr>
        <w:pStyle w:val="11"/>
        <w:spacing w:before="0" w:after="0" w:line="560" w:lineRule="exact"/>
        <w:ind w:firstLine="740"/>
        <w:jc w:val="both"/>
        <w:rPr>
          <w:rFonts w:ascii="楷体" w:hAnsi="楷体" w:eastAsia="楷体" w:cs="Times New Roman"/>
          <w:b/>
          <w:spacing w:val="0"/>
          <w:sz w:val="32"/>
          <w:szCs w:val="32"/>
        </w:rPr>
      </w:pPr>
      <w:r>
        <w:rPr>
          <w:rFonts w:hint="eastAsia" w:ascii="楷体" w:hAnsi="楷体" w:eastAsia="楷体" w:cs="Times New Roman"/>
          <w:b/>
          <w:spacing w:val="0"/>
          <w:sz w:val="32"/>
          <w:szCs w:val="32"/>
        </w:rPr>
        <w:t>(一）主要履职目标</w:t>
      </w:r>
    </w:p>
    <w:p>
      <w:pPr>
        <w:pStyle w:val="11"/>
        <w:spacing w:before="0" w:after="0" w:line="560" w:lineRule="exact"/>
        <w:ind w:firstLine="740"/>
        <w:jc w:val="both"/>
        <w:rPr>
          <w:rFonts w:ascii="仿宋_GB2312" w:hAnsi="Calibri" w:eastAsia="仿宋_GB2312" w:cs="Times New Roman"/>
          <w:spacing w:val="0"/>
          <w:sz w:val="32"/>
          <w:szCs w:val="32"/>
        </w:rPr>
      </w:pP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本校2020年度的主要履职目标：</w:t>
      </w:r>
    </w:p>
    <w:p>
      <w:pPr>
        <w:pStyle w:val="11"/>
        <w:spacing w:before="0" w:after="0" w:line="560" w:lineRule="exact"/>
        <w:ind w:firstLine="740"/>
        <w:jc w:val="both"/>
        <w:rPr>
          <w:rFonts w:ascii="仿宋_GB2312" w:hAnsi="Calibri" w:eastAsia="仿宋_GB2312" w:cs="Times New Roman"/>
          <w:spacing w:val="0"/>
          <w:sz w:val="32"/>
          <w:szCs w:val="32"/>
        </w:rPr>
      </w:pP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1、党建引领，落实防疫工作</w:t>
      </w:r>
    </w:p>
    <w:p>
      <w:pPr>
        <w:pStyle w:val="11"/>
        <w:spacing w:before="0" w:after="0" w:line="560" w:lineRule="exact"/>
        <w:ind w:firstLine="740"/>
        <w:jc w:val="both"/>
        <w:rPr>
          <w:rFonts w:ascii="仿宋_GB2312" w:hAnsi="Calibri" w:eastAsia="仿宋_GB2312" w:cs="Times New Roman"/>
          <w:spacing w:val="0"/>
          <w:sz w:val="32"/>
          <w:szCs w:val="32"/>
        </w:rPr>
      </w:pP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2、教职工全员抗疫，确保学生安全</w:t>
      </w:r>
    </w:p>
    <w:p>
      <w:pPr>
        <w:pStyle w:val="11"/>
        <w:spacing w:before="0" w:after="0" w:line="560" w:lineRule="exact"/>
        <w:ind w:firstLine="740"/>
        <w:jc w:val="both"/>
        <w:rPr>
          <w:rFonts w:ascii="仿宋_GB2312" w:hAnsi="Calibri" w:eastAsia="仿宋_GB2312" w:cs="Times New Roman"/>
          <w:spacing w:val="0"/>
          <w:sz w:val="32"/>
          <w:szCs w:val="32"/>
        </w:rPr>
      </w:pP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3、开展全区“创文”工作</w:t>
      </w:r>
    </w:p>
    <w:p>
      <w:pPr>
        <w:pStyle w:val="11"/>
        <w:spacing w:before="0" w:after="0" w:line="560" w:lineRule="exact"/>
        <w:ind w:firstLine="740"/>
        <w:jc w:val="both"/>
        <w:rPr>
          <w:rFonts w:ascii="仿宋_GB2312" w:hAnsi="Calibri" w:eastAsia="仿宋_GB2312" w:cs="Times New Roman"/>
          <w:spacing w:val="0"/>
          <w:sz w:val="32"/>
          <w:szCs w:val="32"/>
        </w:rPr>
      </w:pP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4、疫情期间，助力市、区空中课堂教学</w:t>
      </w:r>
    </w:p>
    <w:p>
      <w:pPr>
        <w:pStyle w:val="11"/>
        <w:spacing w:before="0" w:after="0" w:line="560" w:lineRule="exact"/>
        <w:ind w:firstLine="740"/>
        <w:jc w:val="both"/>
        <w:rPr>
          <w:rFonts w:ascii="仿宋_GB2312" w:hAnsi="Calibri" w:eastAsia="仿宋_GB2312" w:cs="Times New Roman"/>
          <w:spacing w:val="0"/>
          <w:sz w:val="32"/>
          <w:szCs w:val="32"/>
        </w:rPr>
      </w:pP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5、家校共育，关注学生心理健康</w:t>
      </w:r>
    </w:p>
    <w:p>
      <w:pPr>
        <w:pStyle w:val="11"/>
        <w:spacing w:before="0" w:after="0" w:line="560" w:lineRule="exact"/>
        <w:ind w:firstLine="740"/>
        <w:jc w:val="both"/>
        <w:rPr>
          <w:rFonts w:ascii="仿宋_GB2312" w:hAnsi="Calibri" w:eastAsia="仿宋_GB2312" w:cs="Times New Roman"/>
          <w:spacing w:val="0"/>
          <w:sz w:val="32"/>
          <w:szCs w:val="32"/>
        </w:rPr>
      </w:pP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6、精准帮扶，实现教育资源共享</w:t>
      </w:r>
    </w:p>
    <w:p>
      <w:pPr>
        <w:pStyle w:val="11"/>
        <w:spacing w:before="0" w:after="0" w:line="560" w:lineRule="exact"/>
        <w:ind w:firstLine="740"/>
        <w:jc w:val="both"/>
        <w:rPr>
          <w:rFonts w:ascii="楷体" w:hAnsi="楷体" w:eastAsia="楷体" w:cs="Times New Roman"/>
          <w:b/>
          <w:spacing w:val="0"/>
          <w:sz w:val="32"/>
          <w:szCs w:val="32"/>
        </w:rPr>
      </w:pPr>
      <w:r>
        <w:rPr>
          <w:rFonts w:hint="eastAsia" w:ascii="楷体" w:hAnsi="楷体" w:eastAsia="楷体" w:cs="Times New Roman"/>
          <w:b/>
          <w:spacing w:val="0"/>
          <w:sz w:val="32"/>
          <w:szCs w:val="32"/>
        </w:rPr>
        <w:t>(二）主要履职情况</w:t>
      </w:r>
    </w:p>
    <w:p>
      <w:pPr>
        <w:spacing w:line="480" w:lineRule="auto"/>
        <w:ind w:firstLine="592" w:firstLineChars="18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2020年，</w:t>
      </w:r>
      <w:r>
        <w:rPr>
          <w:rFonts w:hint="eastAsia" w:ascii="仿宋" w:hAnsi="仿宋" w:eastAsia="仿宋" w:cs="仿宋_GB2312"/>
          <w:sz w:val="32"/>
          <w:szCs w:val="32"/>
          <w:shd w:val="clear" w:color="auto" w:fill="FFFFFF"/>
        </w:rPr>
        <w:t>在区教育局党组、教育工委的坚强领导下，</w:t>
      </w:r>
      <w:r>
        <w:rPr>
          <w:rFonts w:hint="eastAsia" w:ascii="仿宋" w:hAnsi="仿宋" w:eastAsia="仿宋"/>
          <w:sz w:val="32"/>
          <w:szCs w:val="32"/>
        </w:rPr>
        <w:t>全面贯彻落实党的教育方针，深化教育改革，扎实推进各方面工作，取得了积极成效：</w:t>
      </w:r>
    </w:p>
    <w:p>
      <w:pPr>
        <w:spacing w:line="480" w:lineRule="auto"/>
        <w:ind w:firstLine="592" w:firstLineChars="185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1、两部党员教师在党支部书记曾卫东同志的带领下，凝心聚力，统一思想。疫情期间，党支部负责部署落实防疫工作，共筑平安校园；党、团、队薪火相传，党员同志争当抗疫先锋，引领海滨师生，担青年之责，立少年志向；主题党日，党课，志愿服务等党建工作持续推进，营造积极向上的工作氛围，促进学校各部门工作平稳有序，推陈出新。</w:t>
      </w:r>
    </w:p>
    <w:p>
      <w:pPr>
        <w:spacing w:line="360" w:lineRule="auto"/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2、我校致力于“用艺术开启儿童精彩人生”。疫情期间，学校各艺术团队组织学生“云”演出，多个艺术作品登录“学习强国”。琵琶社团《我的祖国》，管乐团《苏格兰的蓝铃花》等作品在深圳学习平台播出；亲历大国担当，心系民族强盛，今年国庆，海滨师生用百米长卷画作“中国梦，太空梦”献礼祖国，学生用美好的艺术形式传递爱与力量，向所有奋战在抗疫一线的工作人员致敬，向所有经历过疫情的同胞朋友传递积极乐观的精神。</w:t>
      </w:r>
    </w:p>
    <w:p>
      <w:pPr>
        <w:spacing w:line="360" w:lineRule="auto"/>
        <w:ind w:firstLine="473" w:firstLineChars="148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“以生为本”，我校始终把学生的生命安全置于首位。本学年，两部分别制定《防疫期间管理工作安排》和《上下学定岗人员安排》表，坚持“封闭管理、全员参与、错峰分流、定岗协同”的工作原则，学校领导、全体教师、校医、保安，所有教职工均参与防疫保障工作，返校至今，全体海滨教职工数月如一日地坚守自己的岗位，这是一支爱生如子的团队，这更是一支团结一心，无私无畏，能打胜仗的团队。</w:t>
      </w:r>
    </w:p>
    <w:p>
      <w:pPr>
        <w:spacing w:line="360" w:lineRule="auto"/>
        <w:ind w:firstLine="796" w:firstLineChars="249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3、全区“创文”工作，且看海滨标杆</w:t>
      </w:r>
    </w:p>
    <w:p>
      <w:pPr>
        <w:spacing w:line="360" w:lineRule="auto"/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2020年我校愉康部，深圳湾部先后荣获南山区“文明校园”称号及南山区“创文工作先进单位”称号。6月10日，南山区教育系统创文工作现场会在我校举行。曾卫东校长以《内化于心 外化于行——海滨实验小学“创建文明校园”的思考与实践》为题，与区领导及全区其他兄弟学校分享交流。</w:t>
      </w:r>
    </w:p>
    <w:p>
      <w:pPr>
        <w:spacing w:line="360" w:lineRule="auto"/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4、疫情期间，我校多名优秀教师，优秀班主任助力市、区空中课堂教学。王开杰老师的数学微课，郑伟强老师的音乐微课在“深圳教育空中课堂”上线；唐莉娜老师、郭昕老师、彭雅茹老师、王媛媛老师在南山区空中课堂开课；姚冰老师、刘阳老师、李琳老师、黄萍老师录制的班主任微课在“南山区智慧班主任”平台播出。</w:t>
      </w:r>
    </w:p>
    <w:p>
      <w:pPr>
        <w:spacing w:line="360" w:lineRule="auto"/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5、家校共育，关注学生心理健康</w:t>
      </w:r>
    </w:p>
    <w:p>
      <w:pPr>
        <w:spacing w:line="360" w:lineRule="auto"/>
        <w:ind w:firstLine="800" w:firstLineChars="25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疫情对家庭生态的影响直接投射在孩子身上，特殊时期的家校共育是我校的重点工作之一。两部学生发展中心牵头，联合心理教师多次召开“云”家长会，走进学生家庭，疏导学生心理；举办专家讲座，走进青春期，倾听孩子做智慧家长；各班级建立学生心理发展档案，与家长和孩子定期进行沟通，共同助力孩子们健康成长。</w:t>
      </w:r>
    </w:p>
    <w:p>
      <w:pPr>
        <w:spacing w:line="360" w:lineRule="auto"/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6、精准帮扶，实现教育资源共享</w:t>
      </w:r>
    </w:p>
    <w:p>
      <w:pPr>
        <w:spacing w:line="360" w:lineRule="auto"/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我校选派优秀教师赴山西、广西开展教学研讨交流活动。11月，钱红梅助理带领愉康部、深圳湾部7位骨干教师，分别赴山西黑马学校、广西田阳第二小学开展教学研讨交流活动，老师们精彩的研讨课及教学讲座获得同行一致好评。该活动为区域教学交流搭建平台，促进两地教师专业发展，实现教育资源共享。</w:t>
      </w:r>
    </w:p>
    <w:p>
      <w:pPr>
        <w:pStyle w:val="11"/>
        <w:numPr>
          <w:ilvl w:val="0"/>
          <w:numId w:val="4"/>
        </w:numPr>
        <w:spacing w:before="0" w:after="0" w:line="560" w:lineRule="exact"/>
        <w:ind w:firstLine="740"/>
        <w:jc w:val="both"/>
        <w:rPr>
          <w:rFonts w:ascii="楷体" w:hAnsi="楷体" w:eastAsia="楷体" w:cs="Times New Roman"/>
          <w:b/>
          <w:spacing w:val="0"/>
          <w:sz w:val="32"/>
          <w:szCs w:val="32"/>
        </w:rPr>
      </w:pPr>
      <w:r>
        <w:rPr>
          <w:rFonts w:hint="eastAsia" w:ascii="楷体" w:hAnsi="楷体" w:eastAsia="楷体" w:cs="Times New Roman"/>
          <w:b/>
          <w:spacing w:val="0"/>
          <w:sz w:val="32"/>
          <w:szCs w:val="32"/>
        </w:rPr>
        <w:t>单位履职绩效情况</w:t>
      </w:r>
    </w:p>
    <w:p>
      <w:pPr>
        <w:pStyle w:val="18"/>
        <w:numPr>
          <w:ilvl w:val="0"/>
          <w:numId w:val="5"/>
        </w:numPr>
        <w:spacing w:line="360" w:lineRule="auto"/>
        <w:ind w:firstLineChars="0"/>
        <w:rPr>
          <w:rFonts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 xml:space="preserve">经济性 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经济性方面，用公用经费控制率反映和考核部门（单位）对机构运转成本的实际控制程度。经济性方面，用公用经费控制率反映和考核部门（单位）对机构运转成本的实际控制程度。2020 年度“三公”经费支出预算数（含调整数）7.76万元，实际支出(决算数)7.73万元， “三公”经费控制率99.61%。日常公用经费调整预算数394.36万元，日常公用经费决算数360.59万元，日常公用经费控制率为91.44%。2020年度“三公”经费及日常公用经费控制率均为不超过100%，表明单位对机构运转成本的实际控制程度高。</w:t>
      </w:r>
    </w:p>
    <w:p>
      <w:pPr>
        <w:pStyle w:val="18"/>
        <w:numPr>
          <w:ilvl w:val="0"/>
          <w:numId w:val="5"/>
        </w:numPr>
        <w:spacing w:line="360" w:lineRule="auto"/>
        <w:ind w:firstLineChars="0"/>
        <w:rPr>
          <w:rFonts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 xml:space="preserve">效率性 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 xml:space="preserve"> 从单位预算实际支付进度和既定支付进度的匹配情况，反映和考核单位预算执行的及时性和均衡性。根据预算指标执行情况表2020年年度总指标为10541.44万元。其中，第一季度预算支出进度为2103.40万元，预算执行率为19.95%；第二季度预算支出进度为4652.55万元，预算执行率为44.14%;第三季度预算支出进度为7681.83万元，预算执行率为72.87%;第四季度预算支出进度为10245.07万元,预算执行率为97.19%，总体预算执行情况良好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 xml:space="preserve">3.效果性 </w:t>
      </w:r>
    </w:p>
    <w:p>
      <w:pPr>
        <w:pStyle w:val="11"/>
        <w:spacing w:before="0" w:after="0" w:line="560" w:lineRule="exact"/>
        <w:ind w:firstLine="640" w:firstLineChars="200"/>
        <w:jc w:val="both"/>
        <w:rPr>
          <w:rFonts w:ascii="仿宋_GB2312" w:hAnsi="Calibri" w:eastAsia="仿宋_GB2312" w:cs="Times New Roman"/>
          <w:spacing w:val="0"/>
          <w:sz w:val="32"/>
          <w:szCs w:val="32"/>
        </w:rPr>
      </w:pP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南方日报专题专版报道我校艺术特色教育。国家艺教委将学校艺术教育誉为“海滨教育模式”，《用艺术开启儿童精彩人生》一文详尽阐述我校20余年在艺术教育方面的探索和实践。</w:t>
      </w:r>
    </w:p>
    <w:p>
      <w:pPr>
        <w:pStyle w:val="11"/>
        <w:spacing w:before="0" w:after="0" w:line="560" w:lineRule="exact"/>
        <w:ind w:firstLine="640" w:firstLineChars="200"/>
        <w:jc w:val="both"/>
        <w:rPr>
          <w:rFonts w:ascii="仿宋_GB2312" w:hAnsi="Calibri" w:eastAsia="仿宋_GB2312" w:cs="Times New Roman"/>
          <w:spacing w:val="0"/>
          <w:sz w:val="32"/>
          <w:szCs w:val="32"/>
        </w:rPr>
      </w:pP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我校科技型、创新型教育成效显著并具示范效应，被评为“粤港澳大湾区青少年创新科学教育基地成员校”。</w:t>
      </w:r>
    </w:p>
    <w:p>
      <w:pPr>
        <w:pStyle w:val="11"/>
        <w:spacing w:before="0" w:after="0" w:line="560" w:lineRule="exact"/>
        <w:ind w:firstLine="640" w:firstLineChars="200"/>
        <w:jc w:val="both"/>
        <w:rPr>
          <w:rFonts w:ascii="仿宋_GB2312" w:hAnsi="Calibri" w:eastAsia="仿宋_GB2312" w:cs="Times New Roman"/>
          <w:spacing w:val="0"/>
          <w:sz w:val="32"/>
          <w:szCs w:val="32"/>
        </w:rPr>
      </w:pP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南山区阳光体育大课间活动检查评优中，愉康部荣获“ 标兵学校”称号。</w:t>
      </w:r>
    </w:p>
    <w:p>
      <w:pPr>
        <w:pStyle w:val="11"/>
        <w:spacing w:before="0" w:after="0" w:line="560" w:lineRule="exact"/>
        <w:ind w:firstLine="640" w:firstLineChars="200"/>
        <w:jc w:val="both"/>
        <w:rPr>
          <w:rFonts w:ascii="仿宋_GB2312" w:hAnsi="Calibri" w:eastAsia="仿宋_GB2312" w:cs="Times New Roman"/>
          <w:spacing w:val="0"/>
          <w:sz w:val="32"/>
          <w:szCs w:val="32"/>
        </w:rPr>
      </w:pP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愉康部，深圳湾部均荣获南山区“文明校园”称号及南山区“创文工作先进单位”称号。</w:t>
      </w:r>
    </w:p>
    <w:p>
      <w:pPr>
        <w:pStyle w:val="11"/>
        <w:spacing w:before="0" w:after="0" w:line="560" w:lineRule="exact"/>
        <w:ind w:firstLine="640" w:firstLineChars="200"/>
        <w:jc w:val="both"/>
        <w:rPr>
          <w:rFonts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愉康部、深圳湾部均获评2020年“南山区传统文化示范学校”。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 xml:space="preserve">4.公平性 </w:t>
      </w:r>
    </w:p>
    <w:p>
      <w:pPr>
        <w:spacing w:line="580" w:lineRule="exact"/>
        <w:ind w:firstLine="627" w:firstLineChars="196"/>
        <w:rPr>
          <w:rFonts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本校高度重视家长在学生成长的作用，热情耐心地接待群众来访，做好群众来电、来信记录，并积极联系主管部门解决问题，注重上下沟通，使各方面的工作运转更加流畅。</w:t>
      </w:r>
    </w:p>
    <w:p>
      <w:pPr>
        <w:ind w:firstLine="640" w:firstLineChars="200"/>
        <w:rPr>
          <w:rFonts w:ascii="仿宋_GB2312" w:hAnsi="Calibri" w:eastAsia="仿宋_GB2312"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其中，就“后勤管理经费”项目进行绩效分析：</w:t>
      </w:r>
    </w:p>
    <w:p>
      <w:pPr>
        <w:pStyle w:val="11"/>
        <w:numPr>
          <w:ilvl w:val="0"/>
          <w:numId w:val="6"/>
        </w:numPr>
        <w:spacing w:before="0" w:after="0" w:line="560" w:lineRule="exact"/>
        <w:ind w:firstLine="640" w:firstLineChars="200"/>
        <w:jc w:val="both"/>
        <w:rPr>
          <w:rFonts w:ascii="仿宋_GB2312" w:hAnsi="Calibri" w:eastAsia="仿宋_GB2312" w:cs="Times New Roman"/>
          <w:spacing w:val="0"/>
          <w:sz w:val="32"/>
          <w:szCs w:val="32"/>
        </w:rPr>
      </w:pP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数量指标完成情况</w:t>
      </w:r>
    </w:p>
    <w:tbl>
      <w:tblPr>
        <w:tblStyle w:val="6"/>
        <w:tblpPr w:leftFromText="180" w:rightFromText="180" w:vertAnchor="text" w:horzAnchor="page" w:tblpX="2027" w:tblpY="132"/>
        <w:tblOverlap w:val="never"/>
        <w:tblW w:w="807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4"/>
        <w:gridCol w:w="3046"/>
        <w:gridCol w:w="1647"/>
        <w:gridCol w:w="17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231F20"/>
                <w:kern w:val="0"/>
                <w:sz w:val="22"/>
                <w:szCs w:val="20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2"/>
                <w:szCs w:val="20"/>
              </w:rPr>
              <w:t>二级指标</w:t>
            </w:r>
          </w:p>
        </w:tc>
        <w:tc>
          <w:tcPr>
            <w:tcW w:w="30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231F20"/>
                <w:kern w:val="0"/>
                <w:sz w:val="22"/>
                <w:szCs w:val="20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2"/>
                <w:szCs w:val="20"/>
              </w:rPr>
              <w:t>三级指标</w:t>
            </w:r>
          </w:p>
        </w:tc>
        <w:tc>
          <w:tcPr>
            <w:tcW w:w="16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231F20"/>
                <w:kern w:val="0"/>
                <w:sz w:val="22"/>
                <w:szCs w:val="20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2"/>
                <w:szCs w:val="20"/>
              </w:rPr>
              <w:t>目标值</w:t>
            </w:r>
          </w:p>
        </w:tc>
        <w:tc>
          <w:tcPr>
            <w:tcW w:w="1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231F20"/>
                <w:kern w:val="0"/>
                <w:sz w:val="22"/>
                <w:szCs w:val="20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2"/>
                <w:szCs w:val="20"/>
              </w:rPr>
              <w:t>完成值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0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Calibri" w:eastAsia="仿宋_GB2312"/>
                <w:sz w:val="32"/>
                <w:szCs w:val="32"/>
              </w:rPr>
            </w:pPr>
            <w:r>
              <w:rPr>
                <w:rFonts w:hint="eastAsia" w:ascii="仿宋_GB2312" w:hAnsi="Calibri" w:eastAsia="仿宋_GB2312"/>
                <w:sz w:val="32"/>
                <w:szCs w:val="32"/>
              </w:rPr>
              <w:t>数量指标</w:t>
            </w:r>
          </w:p>
        </w:tc>
        <w:tc>
          <w:tcPr>
            <w:tcW w:w="3046" w:type="dxa"/>
            <w:vMerge w:val="restart"/>
            <w:tcBorders>
              <w:top w:val="nil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Calibri" w:eastAsia="仿宋_GB2312"/>
                <w:sz w:val="32"/>
                <w:szCs w:val="32"/>
              </w:rPr>
            </w:pPr>
            <w:r>
              <w:rPr>
                <w:rFonts w:hint="eastAsia" w:ascii="仿宋_GB2312" w:hAnsi="Calibri" w:eastAsia="仿宋_GB2312"/>
                <w:sz w:val="32"/>
                <w:szCs w:val="32"/>
              </w:rPr>
              <w:t>校园整洁清洁次数</w:t>
            </w:r>
          </w:p>
        </w:tc>
        <w:tc>
          <w:tcPr>
            <w:tcW w:w="1647" w:type="dxa"/>
            <w:vMerge w:val="restart"/>
            <w:tcBorders>
              <w:top w:val="nil"/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32"/>
                <w:szCs w:val="32"/>
              </w:rPr>
            </w:pPr>
            <w:r>
              <w:rPr>
                <w:rFonts w:hint="eastAsia" w:ascii="仿宋_GB2312" w:hAnsi="Calibri" w:eastAsia="仿宋_GB2312"/>
                <w:sz w:val="32"/>
                <w:szCs w:val="32"/>
              </w:rPr>
              <w:t>1-2次/天</w:t>
            </w:r>
          </w:p>
        </w:tc>
        <w:tc>
          <w:tcPr>
            <w:tcW w:w="17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32"/>
                <w:szCs w:val="32"/>
              </w:rPr>
            </w:pPr>
            <w:r>
              <w:rPr>
                <w:rFonts w:hint="eastAsia" w:ascii="仿宋_GB2312" w:hAnsi="Calibri" w:eastAsia="仿宋_GB2312"/>
                <w:sz w:val="32"/>
                <w:szCs w:val="32"/>
              </w:rPr>
              <w:t>1-2次/天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0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/>
                <w:sz w:val="32"/>
                <w:szCs w:val="32"/>
              </w:rPr>
            </w:pPr>
          </w:p>
        </w:tc>
        <w:tc>
          <w:tcPr>
            <w:tcW w:w="304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仿宋_GB2312" w:hAnsi="Calibri" w:eastAsia="仿宋_GB2312"/>
                <w:sz w:val="32"/>
                <w:szCs w:val="32"/>
              </w:rPr>
            </w:pPr>
          </w:p>
        </w:tc>
        <w:tc>
          <w:tcPr>
            <w:tcW w:w="164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32"/>
                <w:szCs w:val="32"/>
              </w:rPr>
            </w:pPr>
          </w:p>
        </w:tc>
        <w:tc>
          <w:tcPr>
            <w:tcW w:w="17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Calibri" w:eastAsia="仿宋_GB2312"/>
                <w:sz w:val="32"/>
                <w:szCs w:val="32"/>
              </w:rPr>
            </w:pPr>
          </w:p>
        </w:tc>
      </w:tr>
    </w:tbl>
    <w:p>
      <w:pPr>
        <w:pStyle w:val="11"/>
        <w:numPr>
          <w:ilvl w:val="0"/>
          <w:numId w:val="6"/>
        </w:numPr>
        <w:spacing w:before="0" w:after="0" w:line="560" w:lineRule="exact"/>
        <w:ind w:firstLine="640" w:firstLineChars="200"/>
        <w:jc w:val="both"/>
        <w:rPr>
          <w:rFonts w:ascii="仿宋_GB2312" w:hAnsi="Calibri" w:eastAsia="仿宋_GB2312" w:cs="Times New Roman"/>
          <w:spacing w:val="0"/>
          <w:sz w:val="32"/>
          <w:szCs w:val="32"/>
        </w:rPr>
      </w:pPr>
      <w:r>
        <w:rPr>
          <w:rFonts w:ascii="仿宋_GB2312" w:hAnsi="Calibri" w:eastAsia="仿宋_GB2312" w:cs="Times New Roman"/>
          <w:spacing w:val="0"/>
          <w:sz w:val="32"/>
          <w:szCs w:val="32"/>
        </w:rPr>
        <w:t>质量指标完成</w:t>
      </w: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情况</w:t>
      </w:r>
    </w:p>
    <w:tbl>
      <w:tblPr>
        <w:tblStyle w:val="7"/>
        <w:tblW w:w="7906" w:type="dxa"/>
        <w:tblInd w:w="6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4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质量</w:t>
            </w:r>
          </w:p>
        </w:tc>
        <w:tc>
          <w:tcPr>
            <w:tcW w:w="2130" w:type="dxa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本单位相关工作正常开展</w:t>
            </w:r>
          </w:p>
        </w:tc>
        <w:tc>
          <w:tcPr>
            <w:tcW w:w="2131" w:type="dxa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得到有效保障</w:t>
            </w:r>
          </w:p>
        </w:tc>
        <w:tc>
          <w:tcPr>
            <w:tcW w:w="2131" w:type="dxa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4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30" w:type="dxa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校园清洁覆盖率</w:t>
            </w:r>
          </w:p>
        </w:tc>
        <w:tc>
          <w:tcPr>
            <w:tcW w:w="2131" w:type="dxa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2131" w:type="dxa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100%　</w:t>
            </w:r>
          </w:p>
        </w:tc>
      </w:tr>
    </w:tbl>
    <w:p>
      <w:pPr>
        <w:pStyle w:val="11"/>
        <w:spacing w:before="0" w:after="0" w:line="560" w:lineRule="exact"/>
        <w:ind w:firstLine="640" w:firstLineChars="200"/>
        <w:jc w:val="both"/>
        <w:rPr>
          <w:rFonts w:ascii="仿宋_GB2312" w:hAnsi="Calibri" w:eastAsia="仿宋_GB2312" w:cs="Times New Roman"/>
          <w:spacing w:val="0"/>
          <w:sz w:val="32"/>
          <w:szCs w:val="32"/>
        </w:rPr>
      </w:pPr>
      <w:r>
        <w:rPr>
          <w:rFonts w:ascii="仿宋_GB2312" w:hAnsi="Calibri" w:eastAsia="仿宋_GB2312" w:cs="Times New Roman"/>
          <w:spacing w:val="0"/>
          <w:sz w:val="32"/>
          <w:szCs w:val="32"/>
        </w:rPr>
        <w:t>实际</w:t>
      </w: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执行</w:t>
      </w:r>
      <w:r>
        <w:rPr>
          <w:rFonts w:ascii="仿宋_GB2312" w:hAnsi="Calibri" w:eastAsia="仿宋_GB2312" w:cs="Times New Roman"/>
          <w:spacing w:val="0"/>
          <w:sz w:val="32"/>
          <w:szCs w:val="32"/>
        </w:rPr>
        <w:t>过程中，工作均已按照规定保质保量完成。</w:t>
      </w:r>
    </w:p>
    <w:p>
      <w:pPr>
        <w:pStyle w:val="11"/>
        <w:numPr>
          <w:ilvl w:val="0"/>
          <w:numId w:val="6"/>
        </w:numPr>
        <w:spacing w:before="0" w:after="0" w:line="560" w:lineRule="exact"/>
        <w:ind w:firstLine="640" w:firstLineChars="200"/>
        <w:jc w:val="both"/>
        <w:rPr>
          <w:rFonts w:ascii="仿宋_GB2312" w:hAnsi="Calibri" w:eastAsia="仿宋_GB2312" w:cs="Times New Roman"/>
          <w:spacing w:val="0"/>
          <w:sz w:val="32"/>
          <w:szCs w:val="32"/>
        </w:rPr>
      </w:pPr>
      <w:r>
        <w:rPr>
          <w:rFonts w:ascii="仿宋_GB2312" w:hAnsi="Calibri" w:eastAsia="仿宋_GB2312" w:cs="Times New Roman"/>
          <w:spacing w:val="0"/>
          <w:sz w:val="32"/>
          <w:szCs w:val="32"/>
        </w:rPr>
        <w:t>时效指标完成情况</w:t>
      </w:r>
    </w:p>
    <w:tbl>
      <w:tblPr>
        <w:tblStyle w:val="7"/>
        <w:tblW w:w="7890" w:type="dxa"/>
        <w:tblInd w:w="6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120"/>
        <w:gridCol w:w="2270"/>
        <w:gridCol w:w="18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67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时效</w:t>
            </w:r>
          </w:p>
        </w:tc>
        <w:tc>
          <w:tcPr>
            <w:tcW w:w="2120" w:type="dxa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维护绿化及时性</w:t>
            </w:r>
          </w:p>
        </w:tc>
        <w:tc>
          <w:tcPr>
            <w:tcW w:w="2270" w:type="dxa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及时</w:t>
            </w:r>
          </w:p>
        </w:tc>
        <w:tc>
          <w:tcPr>
            <w:tcW w:w="1830" w:type="dxa"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及时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70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20" w:type="dxa"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保安保洁及时性</w:t>
            </w:r>
          </w:p>
        </w:tc>
        <w:tc>
          <w:tcPr>
            <w:tcW w:w="2270" w:type="dxa"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及时</w:t>
            </w:r>
          </w:p>
        </w:tc>
        <w:tc>
          <w:tcPr>
            <w:tcW w:w="1830" w:type="dxa"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及时</w:t>
            </w:r>
          </w:p>
        </w:tc>
      </w:tr>
    </w:tbl>
    <w:p>
      <w:pPr>
        <w:pStyle w:val="11"/>
        <w:spacing w:before="0" w:after="0" w:line="560" w:lineRule="exact"/>
        <w:jc w:val="both"/>
        <w:rPr>
          <w:rFonts w:ascii="仿宋_GB2312" w:hAnsi="Calibri" w:eastAsia="仿宋_GB2312" w:cs="Times New Roman"/>
          <w:spacing w:val="0"/>
          <w:sz w:val="32"/>
          <w:szCs w:val="32"/>
        </w:rPr>
      </w:pPr>
    </w:p>
    <w:p>
      <w:pPr>
        <w:pStyle w:val="11"/>
        <w:numPr>
          <w:ilvl w:val="0"/>
          <w:numId w:val="6"/>
        </w:numPr>
        <w:spacing w:before="0" w:after="0" w:line="560" w:lineRule="exact"/>
        <w:ind w:firstLine="640" w:firstLineChars="200"/>
        <w:jc w:val="both"/>
        <w:rPr>
          <w:rFonts w:ascii="仿宋_GB2312" w:hAnsi="Calibri" w:eastAsia="仿宋_GB2312" w:cs="Times New Roman"/>
          <w:spacing w:val="0"/>
          <w:sz w:val="32"/>
          <w:szCs w:val="32"/>
        </w:rPr>
      </w:pP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效益指标完成情况</w:t>
      </w: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ab/>
      </w:r>
    </w:p>
    <w:tbl>
      <w:tblPr>
        <w:tblStyle w:val="7"/>
        <w:tblW w:w="7986" w:type="dxa"/>
        <w:tblInd w:w="5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0"/>
        <w:gridCol w:w="2100"/>
        <w:gridCol w:w="1765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效果</w:t>
            </w:r>
          </w:p>
        </w:tc>
        <w:tc>
          <w:tcPr>
            <w:tcW w:w="210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服务对象满意度</w:t>
            </w:r>
          </w:p>
        </w:tc>
        <w:tc>
          <w:tcPr>
            <w:tcW w:w="1765" w:type="dxa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保障范围的服务对象的满意度</w:t>
            </w:r>
          </w:p>
        </w:tc>
        <w:tc>
          <w:tcPr>
            <w:tcW w:w="2131" w:type="dxa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》95%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0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0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1765" w:type="dxa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校园安全事故数量</w:t>
            </w:r>
          </w:p>
        </w:tc>
        <w:tc>
          <w:tcPr>
            <w:tcW w:w="2131" w:type="dxa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0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0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1765" w:type="dxa"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不适用</w:t>
            </w:r>
          </w:p>
        </w:tc>
        <w:tc>
          <w:tcPr>
            <w:tcW w:w="2131" w:type="dxa"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不适用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0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0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1765" w:type="dxa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　不适用</w:t>
            </w:r>
          </w:p>
        </w:tc>
        <w:tc>
          <w:tcPr>
            <w:tcW w:w="2131" w:type="dxa"/>
            <w:vAlign w:val="bottom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不适用</w:t>
            </w:r>
          </w:p>
        </w:tc>
      </w:tr>
    </w:tbl>
    <w:p>
      <w:pPr>
        <w:pStyle w:val="2"/>
      </w:pPr>
      <w:r>
        <w:rPr>
          <w:rFonts w:hint="eastAsia" w:ascii="仿宋_GB2312" w:hAnsi="Calibri" w:eastAsia="仿宋_GB2312"/>
          <w:sz w:val="32"/>
          <w:szCs w:val="32"/>
        </w:rPr>
        <w:t xml:space="preserve">    此项目根据《教育系统2020年部门预算指引》编制，包括后勤服务、校园保安、党建工作等。由对应部门负责推进项目的开展，财务处负责审核项目资金使用情况。通过本项目的开展，按时发放学校安保经费，提高了学校的安保水平；后勤服务的到提升，学校日常教学得到保障。</w:t>
      </w:r>
      <w:r>
        <w:rPr>
          <w:rFonts w:hint="eastAsia" w:ascii="仿宋_GB2312" w:hAnsi="Calibri" w:eastAsia="仿宋_GB2312"/>
          <w:sz w:val="32"/>
          <w:szCs w:val="32"/>
        </w:rPr>
        <w:tab/>
      </w:r>
    </w:p>
    <w:p>
      <w:pPr>
        <w:pStyle w:val="11"/>
        <w:spacing w:before="0" w:after="0" w:line="560" w:lineRule="exact"/>
        <w:ind w:firstLine="740"/>
        <w:jc w:val="both"/>
        <w:rPr>
          <w:rFonts w:ascii="黑体" w:hAnsi="黑体" w:eastAsia="黑体" w:cs="Times New Roman"/>
          <w:spacing w:val="0"/>
          <w:sz w:val="32"/>
          <w:szCs w:val="32"/>
        </w:rPr>
      </w:pPr>
      <w:r>
        <w:rPr>
          <w:rFonts w:hint="eastAsia" w:ascii="黑体" w:hAnsi="黑体" w:eastAsia="黑体" w:cs="Times New Roman"/>
          <w:spacing w:val="0"/>
          <w:sz w:val="32"/>
          <w:szCs w:val="32"/>
        </w:rPr>
        <w:t>三、总体评价和整改措施</w:t>
      </w:r>
    </w:p>
    <w:p>
      <w:pPr>
        <w:pStyle w:val="11"/>
        <w:spacing w:before="0" w:after="0" w:line="560" w:lineRule="exact"/>
        <w:ind w:firstLine="633" w:firstLineChars="197"/>
        <w:rPr>
          <w:rFonts w:ascii="楷体" w:hAnsi="楷体" w:eastAsia="楷体" w:cs="Times New Roman"/>
          <w:b/>
          <w:spacing w:val="0"/>
          <w:sz w:val="32"/>
          <w:szCs w:val="32"/>
        </w:rPr>
      </w:pPr>
      <w:r>
        <w:rPr>
          <w:rFonts w:ascii="楷体" w:hAnsi="楷体" w:eastAsia="楷体" w:cs="Times New Roman"/>
          <w:b/>
          <w:spacing w:val="0"/>
          <w:sz w:val="32"/>
          <w:szCs w:val="32"/>
        </w:rPr>
        <w:t>(一）</w:t>
      </w:r>
      <w:r>
        <w:rPr>
          <w:rFonts w:hint="eastAsia" w:ascii="楷体" w:hAnsi="楷体" w:eastAsia="楷体" w:cs="Times New Roman"/>
          <w:b/>
          <w:spacing w:val="0"/>
          <w:sz w:val="32"/>
          <w:szCs w:val="32"/>
        </w:rPr>
        <w:t>预算绩效管理工作主要经验、做法</w:t>
      </w:r>
    </w:p>
    <w:p>
      <w:pPr>
        <w:pStyle w:val="11"/>
        <w:spacing w:before="0" w:after="0" w:line="560" w:lineRule="exact"/>
        <w:ind w:firstLine="640" w:firstLineChars="200"/>
        <w:jc w:val="both"/>
        <w:rPr>
          <w:rFonts w:ascii="楷体" w:hAnsi="楷体" w:eastAsia="楷体" w:cs="Times New Roman"/>
          <w:b/>
          <w:spacing w:val="0"/>
          <w:sz w:val="32"/>
          <w:szCs w:val="32"/>
        </w:rPr>
      </w:pP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做好预算绩效管理是我校重要任务，预算绩效管理是学校全面预算管理的重要组成部分。它是以绩效目标为导向、以项目成本为衡量、以绩效评估为核心的一种预算管理体制。按照预算编制的各项原则和要求确保预算合理性、规范性。并编报部门整体和项目的绩效目标，实现绩效目标全覆盖。</w:t>
      </w:r>
    </w:p>
    <w:p>
      <w:pPr>
        <w:pStyle w:val="11"/>
        <w:spacing w:before="0" w:after="0" w:line="560" w:lineRule="exact"/>
        <w:ind w:firstLine="633" w:firstLineChars="197"/>
        <w:jc w:val="both"/>
        <w:rPr>
          <w:rFonts w:ascii="楷体" w:hAnsi="楷体" w:eastAsia="楷体" w:cs="Times New Roman"/>
          <w:b/>
          <w:spacing w:val="0"/>
          <w:sz w:val="32"/>
          <w:szCs w:val="32"/>
        </w:rPr>
      </w:pPr>
      <w:r>
        <w:rPr>
          <w:rFonts w:ascii="楷体" w:hAnsi="楷体" w:eastAsia="楷体" w:cs="Times New Roman"/>
          <w:b/>
          <w:spacing w:val="0"/>
          <w:sz w:val="32"/>
          <w:szCs w:val="32"/>
        </w:rPr>
        <w:t>(二）</w:t>
      </w:r>
      <w:r>
        <w:rPr>
          <w:rFonts w:hint="eastAsia" w:ascii="楷体" w:hAnsi="楷体" w:eastAsia="楷体" w:cs="Times New Roman"/>
          <w:b/>
          <w:spacing w:val="0"/>
          <w:sz w:val="32"/>
          <w:szCs w:val="32"/>
        </w:rPr>
        <w:t>单位整体支出绩效存在问题及改进措施</w:t>
      </w:r>
    </w:p>
    <w:p>
      <w:pPr>
        <w:pStyle w:val="11"/>
        <w:spacing w:before="0" w:after="0" w:line="560" w:lineRule="exact"/>
        <w:ind w:firstLine="640" w:firstLineChars="200"/>
        <w:jc w:val="both"/>
        <w:rPr>
          <w:rFonts w:ascii="仿宋_GB2312" w:hAnsi="Calibri" w:eastAsia="仿宋_GB2312" w:cs="Times New Roman"/>
          <w:spacing w:val="0"/>
          <w:sz w:val="32"/>
          <w:szCs w:val="32"/>
        </w:rPr>
      </w:pP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存在问题：项目的绩效管理和预算执行率需要进行监控；年中预算执行率较低。这其中有2020年疫情学校教学活动无法正常开展的原因，也有特殊情况的出现，导致达不到时序支付进度的要求。</w:t>
      </w:r>
    </w:p>
    <w:p>
      <w:pPr>
        <w:pStyle w:val="11"/>
        <w:spacing w:before="0" w:after="0" w:line="560" w:lineRule="exact"/>
        <w:jc w:val="both"/>
        <w:rPr>
          <w:rFonts w:ascii="楷体" w:hAnsi="楷体" w:eastAsia="楷体" w:cs="Times New Roman"/>
          <w:b/>
          <w:spacing w:val="0"/>
          <w:sz w:val="32"/>
          <w:szCs w:val="32"/>
        </w:rPr>
      </w:pP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改进措施：</w:t>
      </w:r>
      <w:r>
        <w:rPr>
          <w:rFonts w:hint="eastAsia" w:ascii="仿宋_GB2312" w:hAnsi="Calibri" w:eastAsia="仿宋_GB2312" w:cs="Times New Roman"/>
          <w:sz w:val="32"/>
          <w:szCs w:val="32"/>
        </w:rPr>
        <w:t>各项目支出必须有明细的资金测算，</w:t>
      </w:r>
      <w:r>
        <w:rPr>
          <w:rFonts w:hint="eastAsia" w:ascii="仿宋_GB2312" w:hAnsi="Calibri" w:eastAsia="仿宋_GB2312" w:cs="Times New Roman"/>
          <w:spacing w:val="0"/>
          <w:sz w:val="32"/>
          <w:szCs w:val="32"/>
        </w:rPr>
        <w:t>要对每个项目进行绩效跟踪监控；对专项资金预算编制，执行情况监控。定期通过专项会议等措施，落实到专人负责，推进项目工作开展。</w:t>
      </w:r>
    </w:p>
    <w:p>
      <w:pPr>
        <w:spacing w:line="560" w:lineRule="exact"/>
        <w:ind w:firstLine="643" w:firstLineChars="200"/>
        <w:rPr>
          <w:rFonts w:ascii="楷体" w:hAnsi="楷体" w:eastAsia="楷体"/>
          <w:b/>
          <w:sz w:val="32"/>
          <w:szCs w:val="32"/>
        </w:rPr>
      </w:pPr>
      <w:r>
        <w:rPr>
          <w:rFonts w:ascii="楷体" w:hAnsi="楷体" w:eastAsia="楷体"/>
          <w:b/>
          <w:sz w:val="32"/>
          <w:szCs w:val="32"/>
        </w:rPr>
        <w:t>(三）</w:t>
      </w:r>
      <w:r>
        <w:rPr>
          <w:rFonts w:hint="eastAsia" w:ascii="楷体" w:hAnsi="楷体" w:eastAsia="楷体"/>
          <w:b/>
          <w:sz w:val="32"/>
          <w:szCs w:val="32"/>
        </w:rPr>
        <w:t>后续工作计划、相关建议等</w:t>
      </w:r>
    </w:p>
    <w:p>
      <w:pPr>
        <w:widowControl/>
        <w:spacing w:line="360" w:lineRule="auto"/>
        <w:ind w:firstLine="640" w:firstLineChars="200"/>
        <w:jc w:val="left"/>
        <w:rPr>
          <w:rFonts w:ascii="楷体" w:hAnsi="楷体" w:eastAsia="楷体"/>
          <w:b/>
          <w:sz w:val="32"/>
          <w:szCs w:val="32"/>
        </w:rPr>
      </w:pPr>
      <w:r>
        <w:rPr>
          <w:rFonts w:hint="eastAsia" w:ascii="仿宋_GB2312" w:hAnsi="Calibri" w:eastAsia="仿宋_GB2312"/>
          <w:sz w:val="32"/>
          <w:szCs w:val="32"/>
        </w:rPr>
        <w:t>各项工作均做到事先预算，加强项目监管，资产的管理。制定绩效管理的实施细则，在绩效目标、绩效考核和绩效反馈等方面强调全过程管理。</w:t>
      </w:r>
    </w:p>
    <w:p>
      <w:pPr>
        <w:pStyle w:val="11"/>
        <w:spacing w:before="0" w:after="0" w:line="560" w:lineRule="exact"/>
        <w:ind w:firstLine="740"/>
        <w:jc w:val="both"/>
        <w:rPr>
          <w:rFonts w:ascii="黑体" w:hAnsi="黑体" w:eastAsia="黑体" w:cs="Times New Roman"/>
          <w:spacing w:val="0"/>
          <w:sz w:val="32"/>
          <w:szCs w:val="32"/>
        </w:rPr>
      </w:pPr>
      <w:r>
        <w:rPr>
          <w:rFonts w:hint="eastAsia" w:ascii="黑体" w:hAnsi="黑体" w:eastAsia="黑体" w:cs="Times New Roman"/>
          <w:spacing w:val="0"/>
          <w:sz w:val="32"/>
          <w:szCs w:val="32"/>
        </w:rPr>
        <w:t>四、单位整体支出绩效评价指标评分情况</w:t>
      </w:r>
    </w:p>
    <w:p>
      <w:pPr>
        <w:spacing w:line="560" w:lineRule="exact"/>
        <w:ind w:firstLine="640" w:firstLineChars="200"/>
      </w:pPr>
      <w:r>
        <w:rPr>
          <w:rFonts w:hint="eastAsia" w:ascii="仿宋_GB2312" w:hAnsi="Calibri" w:eastAsia="仿宋_GB2312"/>
          <w:sz w:val="32"/>
          <w:szCs w:val="32"/>
        </w:rPr>
        <w:t>参照《部门整体支出绩效评价共性指标体系框架（2020年度）》进行自评，填报得分情况。我校得分97.41分。</w:t>
      </w:r>
    </w:p>
    <w:sectPr>
      <w:pgSz w:w="11906" w:h="16838"/>
      <w:pgMar w:top="1417" w:right="1134" w:bottom="102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488DBBB"/>
    <w:multiLevelType w:val="singleLevel"/>
    <w:tmpl w:val="A488DBBB"/>
    <w:lvl w:ilvl="0" w:tentative="0">
      <w:start w:val="3"/>
      <w:numFmt w:val="chineseCounting"/>
      <w:suff w:val="nothing"/>
      <w:lvlText w:val="(%1）"/>
      <w:lvlJc w:val="left"/>
      <w:rPr>
        <w:rFonts w:hint="eastAsia"/>
      </w:rPr>
    </w:lvl>
  </w:abstractNum>
  <w:abstractNum w:abstractNumId="1">
    <w:nsid w:val="AF23C959"/>
    <w:multiLevelType w:val="singleLevel"/>
    <w:tmpl w:val="AF23C959"/>
    <w:lvl w:ilvl="0" w:tentative="0">
      <w:start w:val="5"/>
      <w:numFmt w:val="decimal"/>
      <w:suff w:val="nothing"/>
      <w:lvlText w:val="%1、"/>
      <w:lvlJc w:val="left"/>
      <w:pPr>
        <w:ind w:left="520" w:firstLine="0"/>
      </w:pPr>
    </w:lvl>
  </w:abstractNum>
  <w:abstractNum w:abstractNumId="2">
    <w:nsid w:val="D2572C08"/>
    <w:multiLevelType w:val="singleLevel"/>
    <w:tmpl w:val="D2572C0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1E3D7D17"/>
    <w:multiLevelType w:val="singleLevel"/>
    <w:tmpl w:val="1E3D7D17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24063D86"/>
    <w:multiLevelType w:val="multilevel"/>
    <w:tmpl w:val="24063D86"/>
    <w:lvl w:ilvl="0" w:tentative="0">
      <w:start w:val="1"/>
      <w:numFmt w:val="decimal"/>
      <w:lvlText w:val="%1."/>
      <w:lvlJc w:val="left"/>
      <w:pPr>
        <w:ind w:left="116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45" w:hanging="420"/>
      </w:pPr>
    </w:lvl>
    <w:lvl w:ilvl="2" w:tentative="0">
      <w:start w:val="1"/>
      <w:numFmt w:val="lowerRoman"/>
      <w:lvlText w:val="%3."/>
      <w:lvlJc w:val="right"/>
      <w:pPr>
        <w:ind w:left="2065" w:hanging="420"/>
      </w:pPr>
    </w:lvl>
    <w:lvl w:ilvl="3" w:tentative="0">
      <w:start w:val="1"/>
      <w:numFmt w:val="decimal"/>
      <w:lvlText w:val="%4."/>
      <w:lvlJc w:val="left"/>
      <w:pPr>
        <w:ind w:left="2485" w:hanging="420"/>
      </w:pPr>
    </w:lvl>
    <w:lvl w:ilvl="4" w:tentative="0">
      <w:start w:val="1"/>
      <w:numFmt w:val="lowerLetter"/>
      <w:lvlText w:val="%5)"/>
      <w:lvlJc w:val="left"/>
      <w:pPr>
        <w:ind w:left="2905" w:hanging="420"/>
      </w:pPr>
    </w:lvl>
    <w:lvl w:ilvl="5" w:tentative="0">
      <w:start w:val="1"/>
      <w:numFmt w:val="lowerRoman"/>
      <w:lvlText w:val="%6."/>
      <w:lvlJc w:val="right"/>
      <w:pPr>
        <w:ind w:left="3325" w:hanging="420"/>
      </w:pPr>
    </w:lvl>
    <w:lvl w:ilvl="6" w:tentative="0">
      <w:start w:val="1"/>
      <w:numFmt w:val="decimal"/>
      <w:lvlText w:val="%7."/>
      <w:lvlJc w:val="left"/>
      <w:pPr>
        <w:ind w:left="3745" w:hanging="420"/>
      </w:pPr>
    </w:lvl>
    <w:lvl w:ilvl="7" w:tentative="0">
      <w:start w:val="1"/>
      <w:numFmt w:val="lowerLetter"/>
      <w:lvlText w:val="%8)"/>
      <w:lvlJc w:val="left"/>
      <w:pPr>
        <w:ind w:left="4165" w:hanging="420"/>
      </w:pPr>
    </w:lvl>
    <w:lvl w:ilvl="8" w:tentative="0">
      <w:start w:val="1"/>
      <w:numFmt w:val="lowerRoman"/>
      <w:lvlText w:val="%9."/>
      <w:lvlJc w:val="right"/>
      <w:pPr>
        <w:ind w:left="4585" w:hanging="420"/>
      </w:pPr>
    </w:lvl>
  </w:abstractNum>
  <w:abstractNum w:abstractNumId="5">
    <w:nsid w:val="44F09F0E"/>
    <w:multiLevelType w:val="singleLevel"/>
    <w:tmpl w:val="44F09F0E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541"/>
    <w:rsid w:val="00055E3C"/>
    <w:rsid w:val="00056ED7"/>
    <w:rsid w:val="00073A76"/>
    <w:rsid w:val="000757C6"/>
    <w:rsid w:val="000C3F76"/>
    <w:rsid w:val="001113C1"/>
    <w:rsid w:val="0012764D"/>
    <w:rsid w:val="001361F2"/>
    <w:rsid w:val="00143E31"/>
    <w:rsid w:val="0019299B"/>
    <w:rsid w:val="001950A4"/>
    <w:rsid w:val="001A63A8"/>
    <w:rsid w:val="00273392"/>
    <w:rsid w:val="002D568F"/>
    <w:rsid w:val="00332FFF"/>
    <w:rsid w:val="003F6CD5"/>
    <w:rsid w:val="0040599F"/>
    <w:rsid w:val="004F0930"/>
    <w:rsid w:val="0055775D"/>
    <w:rsid w:val="00596A70"/>
    <w:rsid w:val="0062218B"/>
    <w:rsid w:val="00632D6B"/>
    <w:rsid w:val="00703836"/>
    <w:rsid w:val="00782F47"/>
    <w:rsid w:val="007F36B4"/>
    <w:rsid w:val="008038BF"/>
    <w:rsid w:val="008569C1"/>
    <w:rsid w:val="00872613"/>
    <w:rsid w:val="008851AD"/>
    <w:rsid w:val="00930744"/>
    <w:rsid w:val="00946ED6"/>
    <w:rsid w:val="00956D38"/>
    <w:rsid w:val="009A7B15"/>
    <w:rsid w:val="009E47DD"/>
    <w:rsid w:val="009F0F93"/>
    <w:rsid w:val="00A04487"/>
    <w:rsid w:val="00A45B1D"/>
    <w:rsid w:val="00A74795"/>
    <w:rsid w:val="00A96EBB"/>
    <w:rsid w:val="00AA0D21"/>
    <w:rsid w:val="00AB0241"/>
    <w:rsid w:val="00AD4261"/>
    <w:rsid w:val="00AE64C9"/>
    <w:rsid w:val="00B17A97"/>
    <w:rsid w:val="00B300DF"/>
    <w:rsid w:val="00B94BB2"/>
    <w:rsid w:val="00BB18C0"/>
    <w:rsid w:val="00BE1D38"/>
    <w:rsid w:val="00C5004E"/>
    <w:rsid w:val="00C5185D"/>
    <w:rsid w:val="00C602B8"/>
    <w:rsid w:val="00C63EBC"/>
    <w:rsid w:val="00C8519D"/>
    <w:rsid w:val="00CD4A85"/>
    <w:rsid w:val="00D95505"/>
    <w:rsid w:val="00DC0751"/>
    <w:rsid w:val="00DE7F23"/>
    <w:rsid w:val="00E12CA8"/>
    <w:rsid w:val="00E31DD1"/>
    <w:rsid w:val="00E90CD4"/>
    <w:rsid w:val="00EB59A9"/>
    <w:rsid w:val="00EC4541"/>
    <w:rsid w:val="00EF3A07"/>
    <w:rsid w:val="00F039BF"/>
    <w:rsid w:val="00F246F0"/>
    <w:rsid w:val="00F26A6B"/>
    <w:rsid w:val="00F73D98"/>
    <w:rsid w:val="04C16E78"/>
    <w:rsid w:val="05C82E6E"/>
    <w:rsid w:val="08F06B65"/>
    <w:rsid w:val="0C497445"/>
    <w:rsid w:val="125E32DE"/>
    <w:rsid w:val="12D92B89"/>
    <w:rsid w:val="1A360485"/>
    <w:rsid w:val="1B543408"/>
    <w:rsid w:val="208B56B9"/>
    <w:rsid w:val="20E92D19"/>
    <w:rsid w:val="24355AD5"/>
    <w:rsid w:val="28257133"/>
    <w:rsid w:val="2874337E"/>
    <w:rsid w:val="29F46CC2"/>
    <w:rsid w:val="357F0CE0"/>
    <w:rsid w:val="376E46E0"/>
    <w:rsid w:val="3C61319B"/>
    <w:rsid w:val="3C8A05C7"/>
    <w:rsid w:val="3ED50690"/>
    <w:rsid w:val="41321E2D"/>
    <w:rsid w:val="42AF7BEC"/>
    <w:rsid w:val="47683E10"/>
    <w:rsid w:val="48AA1603"/>
    <w:rsid w:val="4B4C57BC"/>
    <w:rsid w:val="4E8B28D1"/>
    <w:rsid w:val="53304752"/>
    <w:rsid w:val="55102FEF"/>
    <w:rsid w:val="57DE1A80"/>
    <w:rsid w:val="58C90405"/>
    <w:rsid w:val="59793624"/>
    <w:rsid w:val="5E9626A6"/>
    <w:rsid w:val="5F4428C9"/>
    <w:rsid w:val="603644E9"/>
    <w:rsid w:val="62FA3EE3"/>
    <w:rsid w:val="64334A81"/>
    <w:rsid w:val="6C72376B"/>
    <w:rsid w:val="6DBA0488"/>
    <w:rsid w:val="6E8816A2"/>
    <w:rsid w:val="7103749D"/>
    <w:rsid w:val="738111DB"/>
    <w:rsid w:val="78DF77A2"/>
    <w:rsid w:val="7B5604BC"/>
    <w:rsid w:val="7D1AD993"/>
    <w:rsid w:val="7EC279C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styleId="3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Body text (2)_"/>
    <w:link w:val="11"/>
    <w:qFormat/>
    <w:uiPriority w:val="0"/>
    <w:rPr>
      <w:rFonts w:ascii="宋体" w:hAnsi="宋体" w:cs="宋体"/>
      <w:spacing w:val="20"/>
      <w:sz w:val="30"/>
      <w:szCs w:val="30"/>
      <w:shd w:val="clear" w:color="auto" w:fill="FFFFFF"/>
    </w:rPr>
  </w:style>
  <w:style w:type="paragraph" w:customStyle="1" w:styleId="11">
    <w:name w:val="Body text (2)"/>
    <w:basedOn w:val="1"/>
    <w:link w:val="10"/>
    <w:qFormat/>
    <w:uiPriority w:val="0"/>
    <w:pPr>
      <w:shd w:val="clear" w:color="auto" w:fill="FFFFFF"/>
      <w:spacing w:before="840" w:after="240" w:line="0" w:lineRule="atLeast"/>
      <w:jc w:val="left"/>
    </w:pPr>
    <w:rPr>
      <w:rFonts w:ascii="宋体" w:hAnsi="宋体" w:cs="宋体" w:eastAsiaTheme="minorEastAsia"/>
      <w:spacing w:val="20"/>
      <w:sz w:val="30"/>
      <w:szCs w:val="30"/>
    </w:rPr>
  </w:style>
  <w:style w:type="character" w:customStyle="1" w:styleId="12">
    <w:name w:val="Body text (5)_"/>
    <w:link w:val="13"/>
    <w:qFormat/>
    <w:uiPriority w:val="0"/>
    <w:rPr>
      <w:rFonts w:ascii="宋体" w:hAnsi="宋体" w:cs="宋体"/>
      <w:b/>
      <w:bCs/>
      <w:sz w:val="30"/>
      <w:szCs w:val="30"/>
      <w:shd w:val="clear" w:color="auto" w:fill="FFFFFF"/>
    </w:rPr>
  </w:style>
  <w:style w:type="paragraph" w:customStyle="1" w:styleId="13">
    <w:name w:val="Body text (5)"/>
    <w:basedOn w:val="1"/>
    <w:link w:val="12"/>
    <w:qFormat/>
    <w:uiPriority w:val="0"/>
    <w:pPr>
      <w:shd w:val="clear" w:color="auto" w:fill="FFFFFF"/>
      <w:spacing w:line="586" w:lineRule="exact"/>
      <w:jc w:val="left"/>
    </w:pPr>
    <w:rPr>
      <w:rFonts w:ascii="宋体" w:hAnsi="宋体" w:cs="宋体" w:eastAsiaTheme="minorEastAsia"/>
      <w:b/>
      <w:bCs/>
      <w:sz w:val="30"/>
      <w:szCs w:val="30"/>
    </w:rPr>
  </w:style>
  <w:style w:type="character" w:customStyle="1" w:styleId="14">
    <w:name w:val="Body text (6)_"/>
    <w:link w:val="15"/>
    <w:qFormat/>
    <w:uiPriority w:val="0"/>
    <w:rPr>
      <w:rFonts w:ascii="宋体" w:hAnsi="宋体" w:cs="宋体"/>
      <w:b/>
      <w:bCs/>
      <w:sz w:val="32"/>
      <w:szCs w:val="32"/>
      <w:shd w:val="clear" w:color="auto" w:fill="FFFFFF"/>
    </w:rPr>
  </w:style>
  <w:style w:type="paragraph" w:customStyle="1" w:styleId="15">
    <w:name w:val="Body text (6)"/>
    <w:basedOn w:val="1"/>
    <w:link w:val="14"/>
    <w:qFormat/>
    <w:uiPriority w:val="0"/>
    <w:pPr>
      <w:shd w:val="clear" w:color="auto" w:fill="FFFFFF"/>
      <w:spacing w:line="595" w:lineRule="exact"/>
      <w:jc w:val="left"/>
    </w:pPr>
    <w:rPr>
      <w:rFonts w:ascii="宋体" w:hAnsi="宋体" w:cs="宋体" w:eastAsiaTheme="minorEastAsia"/>
      <w:b/>
      <w:bCs/>
      <w:sz w:val="32"/>
      <w:szCs w:val="32"/>
    </w:rPr>
  </w:style>
  <w:style w:type="paragraph" w:customStyle="1" w:styleId="16">
    <w:name w:val="Heading #3"/>
    <w:basedOn w:val="1"/>
    <w:qFormat/>
    <w:uiPriority w:val="0"/>
    <w:pPr>
      <w:shd w:val="clear" w:color="auto" w:fill="FFFFFF"/>
      <w:spacing w:before="100" w:beforeAutospacing="1" w:after="3420" w:line="0" w:lineRule="atLeast"/>
      <w:jc w:val="left"/>
      <w:outlineLvl w:val="2"/>
    </w:pPr>
    <w:rPr>
      <w:rFonts w:ascii="宋体" w:hAnsi="宋体" w:cs="宋体"/>
      <w:color w:val="000000"/>
      <w:kern w:val="0"/>
      <w:sz w:val="44"/>
      <w:szCs w:val="44"/>
    </w:rPr>
  </w:style>
  <w:style w:type="character" w:customStyle="1" w:styleId="17">
    <w:name w:val="批注框文本 Char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852</Words>
  <Characters>4859</Characters>
  <Lines>40</Lines>
  <Paragraphs>11</Paragraphs>
  <TotalTime>20</TotalTime>
  <ScaleCrop>false</ScaleCrop>
  <LinksUpToDate>false</LinksUpToDate>
  <CharactersWithSpaces>5700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2019-04-07T22:06:00Z</dcterms:created>
  <dc:creator>肖怡欣</dc:creator>
  <cp:lastModifiedBy>1</cp:lastModifiedBy>
  <cp:lastPrinted>2019-04-16T21:18:00Z</cp:lastPrinted>
  <dcterms:modified xsi:type="dcterms:W3CDTF">2021-07-09T03:03:29Z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ICV">
    <vt:lpwstr>CE2B0ED0B1F14CC58886ED83D178C976</vt:lpwstr>
  </property>
</Properties>
</file>